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94E75" w14:textId="77777777" w:rsidR="00A001E2" w:rsidRPr="00A001E2" w:rsidRDefault="00A001E2" w:rsidP="00A001E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b/>
          <w:sz w:val="24"/>
          <w:szCs w:val="24"/>
        </w:rPr>
        <w:t>INFORMATIKOS ILGALAIKIO PLANO RENGIMAS</w:t>
      </w:r>
    </w:p>
    <w:p w14:paraId="7CD3A143" w14:textId="77777777" w:rsidR="00A001E2" w:rsidRPr="00A001E2" w:rsidRDefault="00A001E2" w:rsidP="00A001E2">
      <w:pPr>
        <w:spacing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sz w:val="24"/>
          <w:szCs w:val="24"/>
        </w:rPr>
        <w:t>Dėl ilgalaikio plano formos susitaria mokyklos bendruomenė, tačiau nebūtina siekti vienodos formos. Skirtingų dalykų ar dalykų grupių ilgalaikių planų forma gali skirtis, svarbu atsižvelgti į dalyko specifiką ir sudaryti ilgalaikį planą taip, kad jis būtų patogus ir informatyvus mokytojui, padėtų planuoti trumpesnio mokymo(</w:t>
      </w:r>
      <w:proofErr w:type="spellStart"/>
      <w:r w:rsidRPr="00A001E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001E2">
        <w:rPr>
          <w:rFonts w:ascii="Times New Roman" w:eastAsia="Times New Roman" w:hAnsi="Times New Roman" w:cs="Times New Roman"/>
          <w:sz w:val="24"/>
          <w:szCs w:val="24"/>
        </w:rPr>
        <w:t xml:space="preserve">) laikotarpio (pvz., pamokos, pamokų etapo, savaitės ir pan.) ugdymo procesą, kuriame galėtų būti nurodomi ugdomi pasiekimai, kompetencijos, sąsajos su </w:t>
      </w:r>
      <w:proofErr w:type="spellStart"/>
      <w:r w:rsidRPr="00A001E2">
        <w:rPr>
          <w:rFonts w:ascii="Times New Roman" w:eastAsia="Times New Roman" w:hAnsi="Times New Roman" w:cs="Times New Roman"/>
          <w:sz w:val="24"/>
          <w:szCs w:val="24"/>
        </w:rPr>
        <w:t>tarpdalykinėmis</w:t>
      </w:r>
      <w:proofErr w:type="spellEnd"/>
      <w:r w:rsidRPr="00A001E2">
        <w:rPr>
          <w:rFonts w:ascii="Times New Roman" w:eastAsia="Times New Roman" w:hAnsi="Times New Roman" w:cs="Times New Roman"/>
          <w:sz w:val="24"/>
          <w:szCs w:val="24"/>
        </w:rPr>
        <w:t xml:space="preserve"> temomis. Pamokų ir veiklų planavimo pavyzdžių galima rasti BP įgyvendinimo rekomendacijų dalyje </w:t>
      </w:r>
      <w:r w:rsidRPr="00A001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Veiklų planavimo ir kompetencijų ugdymo pavyzdžiai. </w:t>
      </w:r>
      <w:r w:rsidRPr="00A001E2">
        <w:rPr>
          <w:rFonts w:ascii="Times New Roman" w:eastAsia="Times New Roman" w:hAnsi="Times New Roman" w:cs="Times New Roman"/>
          <w:sz w:val="24"/>
          <w:szCs w:val="24"/>
        </w:rPr>
        <w:t>Planuodamas mokymosi veiklas mokytojas tikslingai pasirenka, kurias kompetencijas ir pasiekimus ugdys atsižvelgdamas į konkrečios klasės mokinių pasiekimus ir poreikius.</w:t>
      </w:r>
    </w:p>
    <w:p w14:paraId="5DDE8179" w14:textId="77777777" w:rsidR="00A001E2" w:rsidRPr="00A001E2" w:rsidRDefault="00A001E2" w:rsidP="00A001E2">
      <w:pPr>
        <w:spacing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sz w:val="24"/>
          <w:szCs w:val="24"/>
        </w:rPr>
        <w:t xml:space="preserve">Planavimo darbą palengvins naudojimasis </w:t>
      </w:r>
      <w:hyperlink r:id="rId8" w:history="1">
        <w:r w:rsidRPr="00A001E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Švietimo portale</w:t>
        </w:r>
      </w:hyperlink>
      <w:r w:rsidRPr="00A001E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001E2">
        <w:rPr>
          <w:rFonts w:ascii="Times New Roman" w:eastAsia="Times New Roman" w:hAnsi="Times New Roman" w:cs="Times New Roman"/>
          <w:sz w:val="24"/>
          <w:szCs w:val="24"/>
        </w:rPr>
        <w:t>emokykla.lt</w:t>
      </w:r>
      <w:proofErr w:type="spellEnd"/>
      <w:r w:rsidRPr="00A001E2">
        <w:rPr>
          <w:rFonts w:ascii="Times New Roman" w:eastAsia="Times New Roman" w:hAnsi="Times New Roman" w:cs="Times New Roman"/>
          <w:sz w:val="24"/>
          <w:szCs w:val="24"/>
        </w:rPr>
        <w:t xml:space="preserve">) pateiktos BP </w:t>
      </w:r>
      <w:hyperlink r:id="rId9">
        <w:r w:rsidRPr="00A001E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atvaizdavimu</w:t>
        </w:r>
      </w:hyperlink>
      <w:r w:rsidRPr="00A001E2">
        <w:rPr>
          <w:rFonts w:ascii="Times New Roman" w:eastAsia="Times New Roman" w:hAnsi="Times New Roman" w:cs="Times New Roman"/>
          <w:sz w:val="24"/>
          <w:szCs w:val="24"/>
        </w:rPr>
        <w:t xml:space="preserve"> su mokymo(</w:t>
      </w:r>
      <w:proofErr w:type="spellStart"/>
      <w:r w:rsidRPr="00A001E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001E2">
        <w:rPr>
          <w:rFonts w:ascii="Times New Roman" w:eastAsia="Times New Roman" w:hAnsi="Times New Roman" w:cs="Times New Roman"/>
          <w:sz w:val="24"/>
          <w:szCs w:val="24"/>
        </w:rPr>
        <w:t xml:space="preserve">) turinio, pasiekimų, kompetencijų ir </w:t>
      </w:r>
      <w:proofErr w:type="spellStart"/>
      <w:r w:rsidRPr="00A001E2">
        <w:rPr>
          <w:rFonts w:ascii="Times New Roman" w:eastAsia="Times New Roman" w:hAnsi="Times New Roman" w:cs="Times New Roman"/>
          <w:sz w:val="24"/>
          <w:szCs w:val="24"/>
        </w:rPr>
        <w:t>tarpdalykinių</w:t>
      </w:r>
      <w:proofErr w:type="spellEnd"/>
      <w:r w:rsidRPr="00A001E2">
        <w:rPr>
          <w:rFonts w:ascii="Times New Roman" w:eastAsia="Times New Roman" w:hAnsi="Times New Roman" w:cs="Times New Roman"/>
          <w:sz w:val="24"/>
          <w:szCs w:val="24"/>
        </w:rPr>
        <w:t xml:space="preserve"> temų nurodytomis sąsajomis.</w:t>
      </w:r>
    </w:p>
    <w:p w14:paraId="3C19DBCB" w14:textId="77777777" w:rsidR="00A001E2" w:rsidRPr="00A001E2" w:rsidRDefault="00A001E2" w:rsidP="00A001E2">
      <w:pPr>
        <w:spacing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sz w:val="24"/>
          <w:szCs w:val="24"/>
        </w:rPr>
        <w:t>Kompetencijos nurodomos prie kiekvieno pasirinkto koncentro pasiekimo:</w:t>
      </w:r>
    </w:p>
    <w:p w14:paraId="4711D69C" w14:textId="77777777" w:rsidR="00A001E2" w:rsidRPr="00A001E2" w:rsidRDefault="00A001E2" w:rsidP="00A001E2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EB919A" wp14:editId="353D8FFF">
            <wp:extent cx="5400000" cy="2660578"/>
            <wp:effectExtent l="19050" t="19050" r="10795" b="260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iekimai II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660578"/>
                    </a:xfrm>
                    <a:prstGeom prst="rect">
                      <a:avLst/>
                    </a:prstGeom>
                    <a:ln>
                      <a:solidFill>
                        <a:srgbClr val="70AD47">
                          <a:lumMod val="20000"/>
                          <a:lumOff val="8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14:paraId="1262ECAD" w14:textId="77777777" w:rsidR="00A001E2" w:rsidRPr="00A001E2" w:rsidRDefault="00A001E2" w:rsidP="00A001E2">
      <w:pPr>
        <w:spacing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sz w:val="24"/>
          <w:szCs w:val="24"/>
        </w:rPr>
        <w:t>Spustelėjus ant pasirinkto pasiekimo atidaromas pasiekimo lygių požymių ir pasiekimui ugdyti skirto mokymo(</w:t>
      </w:r>
      <w:proofErr w:type="spellStart"/>
      <w:r w:rsidRPr="00A001E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001E2">
        <w:rPr>
          <w:rFonts w:ascii="Times New Roman" w:eastAsia="Times New Roman" w:hAnsi="Times New Roman" w:cs="Times New Roman"/>
          <w:sz w:val="24"/>
          <w:szCs w:val="24"/>
        </w:rPr>
        <w:t>) turinio citatų langas:</w:t>
      </w:r>
    </w:p>
    <w:p w14:paraId="781E5FB1" w14:textId="77777777" w:rsidR="00A001E2" w:rsidRPr="00A001E2" w:rsidRDefault="00A001E2" w:rsidP="00A001E2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C9F551" wp14:editId="7FD4E96E">
            <wp:extent cx="5400000" cy="2970661"/>
            <wp:effectExtent l="19050" t="19050" r="10795" b="2032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kymosi turinys II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970661"/>
                    </a:xfrm>
                    <a:prstGeom prst="rect">
                      <a:avLst/>
                    </a:prstGeom>
                    <a:ln>
                      <a:solidFill>
                        <a:srgbClr val="70AD47">
                          <a:lumMod val="20000"/>
                          <a:lumOff val="8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14:paraId="404A0801" w14:textId="77777777" w:rsidR="00A001E2" w:rsidRPr="00A001E2" w:rsidRDefault="00A001E2" w:rsidP="00A001E2">
      <w:pPr>
        <w:spacing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sz w:val="24"/>
          <w:szCs w:val="24"/>
        </w:rPr>
        <w:lastRenderedPageBreak/>
        <w:t>Tarpdalykinės temos nurodomos prie kiekvienos mokymo(</w:t>
      </w:r>
      <w:proofErr w:type="spellStart"/>
      <w:r w:rsidRPr="00A001E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001E2">
        <w:rPr>
          <w:rFonts w:ascii="Times New Roman" w:eastAsia="Times New Roman" w:hAnsi="Times New Roman" w:cs="Times New Roman"/>
          <w:sz w:val="24"/>
          <w:szCs w:val="24"/>
        </w:rPr>
        <w:t xml:space="preserve">) turinio temos. Užvedus žymeklį ant prie temų pateiktų ikonėlių atsiveria langas, kuriame matoma </w:t>
      </w:r>
      <w:proofErr w:type="spellStart"/>
      <w:r w:rsidRPr="00A001E2">
        <w:rPr>
          <w:rFonts w:ascii="Times New Roman" w:eastAsia="Times New Roman" w:hAnsi="Times New Roman" w:cs="Times New Roman"/>
          <w:sz w:val="24"/>
          <w:szCs w:val="24"/>
        </w:rPr>
        <w:t>tarpdalykinė</w:t>
      </w:r>
      <w:proofErr w:type="spellEnd"/>
      <w:r w:rsidRPr="00A001E2">
        <w:rPr>
          <w:rFonts w:ascii="Times New Roman" w:eastAsia="Times New Roman" w:hAnsi="Times New Roman" w:cs="Times New Roman"/>
          <w:sz w:val="24"/>
          <w:szCs w:val="24"/>
        </w:rPr>
        <w:t xml:space="preserve"> tema ir su ja susieto(-ų) pasiekimo(-ų) ir (ar) mokymo(</w:t>
      </w:r>
      <w:proofErr w:type="spellStart"/>
      <w:r w:rsidRPr="00A001E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001E2">
        <w:rPr>
          <w:rFonts w:ascii="Times New Roman" w:eastAsia="Times New Roman" w:hAnsi="Times New Roman" w:cs="Times New Roman"/>
          <w:sz w:val="24"/>
          <w:szCs w:val="24"/>
        </w:rPr>
        <w:t xml:space="preserve">) turinio temos(-ų) citatos. </w:t>
      </w:r>
    </w:p>
    <w:p w14:paraId="7321EE32" w14:textId="77777777" w:rsidR="00A001E2" w:rsidRPr="00A001E2" w:rsidRDefault="00A001E2" w:rsidP="00A00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0C2C54" wp14:editId="3C0D66A9">
            <wp:extent cx="5400000" cy="2875414"/>
            <wp:effectExtent l="19050" t="19050" r="10795" b="2032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rpdalykinės II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875414"/>
                    </a:xfrm>
                    <a:prstGeom prst="rect">
                      <a:avLst/>
                    </a:prstGeom>
                    <a:ln>
                      <a:solidFill>
                        <a:srgbClr val="70AD47">
                          <a:lumMod val="20000"/>
                          <a:lumOff val="8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14:paraId="77BBDA37" w14:textId="1770A1F8" w:rsidR="00A001E2" w:rsidRPr="00A001E2" w:rsidRDefault="00A001E2" w:rsidP="00A001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b/>
          <w:sz w:val="24"/>
          <w:szCs w:val="24"/>
        </w:rPr>
        <w:t>INFORMATIKOS ILGALAIKIO PLANO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A001E2">
        <w:rPr>
          <w:rFonts w:ascii="Times New Roman" w:eastAsia="Times New Roman" w:hAnsi="Times New Roman" w:cs="Times New Roman"/>
          <w:b/>
          <w:sz w:val="24"/>
          <w:szCs w:val="24"/>
        </w:rPr>
        <w:t xml:space="preserve"> GIMNAZIJOS KLASEI</w:t>
      </w:r>
    </w:p>
    <w:p w14:paraId="7CAF591A" w14:textId="77777777" w:rsidR="00A001E2" w:rsidRPr="00A001E2" w:rsidRDefault="00A001E2" w:rsidP="008248B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b/>
          <w:sz w:val="24"/>
          <w:szCs w:val="24"/>
        </w:rPr>
        <w:t>(pereinamajam laikotarpiui)</w:t>
      </w:r>
    </w:p>
    <w:p w14:paraId="6DFA34A7" w14:textId="35CA963F" w:rsidR="00A001E2" w:rsidRPr="00A001E2" w:rsidRDefault="00A001E2" w:rsidP="00A00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A00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A00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mokslo metais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Pr="00A00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gimnazijos klasės</w:t>
      </w:r>
      <w:r w:rsidRPr="00A0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mokiniai </w:t>
      </w:r>
      <w:r w:rsidR="007721C0">
        <w:rPr>
          <w:rFonts w:ascii="Times New Roman" w:eastAsia="Times New Roman" w:hAnsi="Times New Roman" w:cs="Times New Roman"/>
          <w:color w:val="000000"/>
          <w:sz w:val="24"/>
          <w:szCs w:val="24"/>
        </w:rPr>
        <w:t>tęs mokymąsi</w:t>
      </w:r>
      <w:r w:rsidRPr="00A0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pagal atnaujintą Informatikos bendrąją programą (2022), todėl jie </w:t>
      </w:r>
      <w:r w:rsidRPr="00A00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privalo </w:t>
      </w:r>
      <w:r w:rsidRPr="00A0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pasirinkti </w:t>
      </w:r>
      <w:r w:rsidRPr="00A001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Duomenų </w:t>
      </w:r>
      <w:proofErr w:type="spellStart"/>
      <w:r w:rsidRPr="00A001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tyrybos</w:t>
      </w:r>
      <w:proofErr w:type="spellEnd"/>
      <w:r w:rsidRPr="00A001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programavimo ir saugaus elgesio pradmenys </w:t>
      </w:r>
      <w:r w:rsidRPr="00A0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modulį. Mokydamiesi pagal šio modulio programą, mokiniai ugdysis kritinio ir kūrybinio mąstymo, problemų sprendimo, programavimo gebėjimus, įgis naujų žinių, supratimo ir gebėjimų duomenų </w:t>
      </w:r>
      <w:proofErr w:type="spellStart"/>
      <w:r w:rsidRPr="00A001E2">
        <w:rPr>
          <w:rFonts w:ascii="Times New Roman" w:eastAsia="Times New Roman" w:hAnsi="Times New Roman" w:cs="Times New Roman"/>
          <w:color w:val="000000"/>
          <w:sz w:val="24"/>
          <w:szCs w:val="24"/>
        </w:rPr>
        <w:t>tyrybos</w:t>
      </w:r>
      <w:proofErr w:type="spellEnd"/>
      <w:r w:rsidRPr="00A0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saugaus elgesio srityse, kurių reikia viduriniame ugdyme informatikos mokymuisi.</w:t>
      </w:r>
    </w:p>
    <w:p w14:paraId="32C2CE66" w14:textId="77777777" w:rsidR="00A001E2" w:rsidRPr="00A001E2" w:rsidRDefault="00A001E2" w:rsidP="00A001E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Rekomenduojamas mokymo(</w:t>
      </w:r>
      <w:proofErr w:type="spellStart"/>
      <w:r w:rsidRPr="00A00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</w:t>
      </w:r>
      <w:proofErr w:type="spellEnd"/>
      <w:r w:rsidRPr="00A00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temų ir valandų paskirstymas.</w:t>
      </w:r>
    </w:p>
    <w:p w14:paraId="7674EFE6" w14:textId="77777777" w:rsidR="00A001E2" w:rsidRPr="00A001E2" w:rsidRDefault="00A001E2" w:rsidP="00A001E2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1E2">
        <w:rPr>
          <w:rFonts w:ascii="Times New Roman" w:eastAsia="Times New Roman" w:hAnsi="Times New Roman" w:cs="Times New Roman"/>
          <w:i/>
          <w:sz w:val="24"/>
          <w:szCs w:val="24"/>
        </w:rPr>
        <w:t>Pastaba</w:t>
      </w:r>
    </w:p>
    <w:p w14:paraId="2E4666F2" w14:textId="79EE87BD" w:rsidR="00A001E2" w:rsidRPr="00553584" w:rsidRDefault="00A001E2" w:rsidP="0005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84">
        <w:rPr>
          <w:rFonts w:ascii="Times New Roman" w:hAnsi="Times New Roman" w:cs="Times New Roman"/>
          <w:sz w:val="24"/>
          <w:szCs w:val="24"/>
        </w:rPr>
        <w:t>* </w:t>
      </w:r>
      <w:r w:rsidR="00FB3B7A" w:rsidRPr="00553584">
        <w:rPr>
          <w:rFonts w:ascii="Times New Roman" w:hAnsi="Times New Roman" w:cs="Times New Roman"/>
          <w:color w:val="0070C0"/>
          <w:sz w:val="24"/>
          <w:szCs w:val="24"/>
        </w:rPr>
        <w:t>Mėlynai pažymėtos</w:t>
      </w:r>
      <w:r w:rsidRPr="0055358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53584">
        <w:rPr>
          <w:rFonts w:ascii="Times New Roman" w:hAnsi="Times New Roman" w:cs="Times New Roman"/>
          <w:sz w:val="24"/>
          <w:szCs w:val="24"/>
        </w:rPr>
        <w:t xml:space="preserve">modulio „Duomenų </w:t>
      </w:r>
      <w:proofErr w:type="spellStart"/>
      <w:r w:rsidRPr="00553584">
        <w:rPr>
          <w:rFonts w:ascii="Times New Roman" w:hAnsi="Times New Roman" w:cs="Times New Roman"/>
          <w:sz w:val="24"/>
          <w:szCs w:val="24"/>
        </w:rPr>
        <w:t>tyrybos</w:t>
      </w:r>
      <w:proofErr w:type="spellEnd"/>
      <w:r w:rsidRPr="00553584">
        <w:rPr>
          <w:rFonts w:ascii="Times New Roman" w:hAnsi="Times New Roman" w:cs="Times New Roman"/>
          <w:sz w:val="24"/>
          <w:szCs w:val="24"/>
        </w:rPr>
        <w:t>, programavimo ir saugaus elgesio pradmenys“ mokymo(</w:t>
      </w:r>
      <w:proofErr w:type="spellStart"/>
      <w:r w:rsidRPr="0055358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53584">
        <w:rPr>
          <w:rFonts w:ascii="Times New Roman" w:hAnsi="Times New Roman" w:cs="Times New Roman"/>
          <w:sz w:val="24"/>
          <w:szCs w:val="24"/>
        </w:rPr>
        <w:t xml:space="preserve">) </w:t>
      </w:r>
      <w:r w:rsidR="00FB3B7A" w:rsidRPr="00553584">
        <w:rPr>
          <w:rFonts w:ascii="Times New Roman" w:hAnsi="Times New Roman" w:cs="Times New Roman"/>
          <w:sz w:val="24"/>
          <w:szCs w:val="24"/>
        </w:rPr>
        <w:t xml:space="preserve">turinio </w:t>
      </w:r>
      <w:r w:rsidRPr="00553584">
        <w:rPr>
          <w:rFonts w:ascii="Times New Roman" w:hAnsi="Times New Roman" w:cs="Times New Roman"/>
          <w:sz w:val="24"/>
          <w:szCs w:val="24"/>
        </w:rPr>
        <w:t>temos.</w:t>
      </w:r>
    </w:p>
    <w:p w14:paraId="7D387D2B" w14:textId="4EDA6222" w:rsidR="00FB3B7A" w:rsidRPr="00553584" w:rsidRDefault="00FB3B7A" w:rsidP="00056F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84">
        <w:rPr>
          <w:rFonts w:ascii="Times New Roman" w:hAnsi="Times New Roman" w:cs="Times New Roman"/>
          <w:sz w:val="24"/>
          <w:szCs w:val="24"/>
        </w:rPr>
        <w:t>** </w:t>
      </w:r>
      <w:r w:rsidRPr="00553584">
        <w:rPr>
          <w:rFonts w:ascii="Times New Roman" w:hAnsi="Times New Roman" w:cs="Times New Roman"/>
          <w:color w:val="00B050"/>
          <w:sz w:val="24"/>
          <w:szCs w:val="24"/>
        </w:rPr>
        <w:t xml:space="preserve">Žaliai pažymėtos </w:t>
      </w:r>
      <w:r w:rsidRPr="00553584">
        <w:rPr>
          <w:rFonts w:ascii="Times New Roman" w:hAnsi="Times New Roman" w:cs="Times New Roman"/>
          <w:sz w:val="24"/>
          <w:szCs w:val="24"/>
        </w:rPr>
        <w:t>III gimnazijos klasės mokymo(</w:t>
      </w:r>
      <w:proofErr w:type="spellStart"/>
      <w:r w:rsidRPr="0055358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53584">
        <w:rPr>
          <w:rFonts w:ascii="Times New Roman" w:hAnsi="Times New Roman" w:cs="Times New Roman"/>
          <w:sz w:val="24"/>
          <w:szCs w:val="24"/>
        </w:rPr>
        <w:t>) turinio temos.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088"/>
        <w:gridCol w:w="850"/>
      </w:tblGrid>
      <w:tr w:rsidR="006D12D9" w:rsidRPr="006D12D9" w14:paraId="7DBFF61F" w14:textId="77777777" w:rsidTr="00F679D5">
        <w:trPr>
          <w:tblHeader/>
        </w:trPr>
        <w:tc>
          <w:tcPr>
            <w:tcW w:w="2263" w:type="dxa"/>
            <w:vAlign w:val="center"/>
          </w:tcPr>
          <w:p w14:paraId="68242456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Pasiekimų sritis</w:t>
            </w:r>
          </w:p>
        </w:tc>
        <w:tc>
          <w:tcPr>
            <w:tcW w:w="7088" w:type="dxa"/>
            <w:vAlign w:val="center"/>
          </w:tcPr>
          <w:p w14:paraId="4D92E7DC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Mokymo(</w:t>
            </w:r>
            <w:proofErr w:type="spellStart"/>
            <w:r w:rsidRPr="006D1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</w:t>
            </w:r>
            <w:proofErr w:type="spellEnd"/>
            <w:r w:rsidRPr="006D1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 turinio temos</w:t>
            </w:r>
          </w:p>
        </w:tc>
        <w:tc>
          <w:tcPr>
            <w:tcW w:w="850" w:type="dxa"/>
            <w:vAlign w:val="center"/>
          </w:tcPr>
          <w:p w14:paraId="17D5BCFD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Val.</w:t>
            </w:r>
          </w:p>
        </w:tc>
      </w:tr>
      <w:tr w:rsidR="006D12D9" w:rsidRPr="006D12D9" w14:paraId="0D97B241" w14:textId="77777777" w:rsidTr="00F679D5">
        <w:tc>
          <w:tcPr>
            <w:tcW w:w="2263" w:type="dxa"/>
            <w:vMerge w:val="restart"/>
            <w:vAlign w:val="center"/>
          </w:tcPr>
          <w:p w14:paraId="4851F6A7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</w:rPr>
              <w:t>Skaitmeninio turinio kūrimas</w:t>
            </w:r>
          </w:p>
        </w:tc>
        <w:tc>
          <w:tcPr>
            <w:tcW w:w="7088" w:type="dxa"/>
            <w:vAlign w:val="center"/>
          </w:tcPr>
          <w:p w14:paraId="0B703405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Animuotų kompiuterinės grafikos 2D ir (ar) 3D objektų kūrimas, modeliavimas.</w:t>
            </w:r>
          </w:p>
        </w:tc>
        <w:tc>
          <w:tcPr>
            <w:tcW w:w="850" w:type="dxa"/>
          </w:tcPr>
          <w:p w14:paraId="6A886500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12D9" w:rsidRPr="006D12D9" w14:paraId="3EC3AD51" w14:textId="77777777" w:rsidTr="00F679D5">
        <w:trPr>
          <w:trHeight w:val="50"/>
        </w:trPr>
        <w:tc>
          <w:tcPr>
            <w:tcW w:w="2263" w:type="dxa"/>
            <w:vMerge/>
            <w:vAlign w:val="center"/>
          </w:tcPr>
          <w:p w14:paraId="0F9E27C1" w14:textId="77777777" w:rsidR="006D12D9" w:rsidRPr="006D12D9" w:rsidRDefault="006D12D9" w:rsidP="00F67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4167DD2C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Elektroninių leidinių rengimas.</w:t>
            </w:r>
          </w:p>
        </w:tc>
        <w:tc>
          <w:tcPr>
            <w:tcW w:w="850" w:type="dxa"/>
          </w:tcPr>
          <w:p w14:paraId="489CB474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12D9" w:rsidRPr="006D12D9" w14:paraId="3420873E" w14:textId="77777777" w:rsidTr="00F679D5">
        <w:tc>
          <w:tcPr>
            <w:tcW w:w="2263" w:type="dxa"/>
            <w:vMerge w:val="restart"/>
            <w:vAlign w:val="center"/>
          </w:tcPr>
          <w:p w14:paraId="73DCDAD5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</w:rPr>
              <w:t>Algoritmai ir programavimas</w:t>
            </w:r>
          </w:p>
        </w:tc>
        <w:tc>
          <w:tcPr>
            <w:tcW w:w="7088" w:type="dxa"/>
            <w:vAlign w:val="center"/>
          </w:tcPr>
          <w:p w14:paraId="7AC4187C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Programinės įrangos projektavimas.</w:t>
            </w:r>
          </w:p>
        </w:tc>
        <w:tc>
          <w:tcPr>
            <w:tcW w:w="850" w:type="dxa"/>
          </w:tcPr>
          <w:p w14:paraId="4FEC37AB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12D9" w:rsidRPr="006D12D9" w14:paraId="38F00B92" w14:textId="77777777" w:rsidTr="00F679D5">
        <w:tc>
          <w:tcPr>
            <w:tcW w:w="2263" w:type="dxa"/>
            <w:vMerge/>
            <w:vAlign w:val="center"/>
          </w:tcPr>
          <w:p w14:paraId="5EF1337B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6650ED58" w14:textId="77777777" w:rsidR="006D12D9" w:rsidRPr="006D12D9" w:rsidRDefault="006D12D9" w:rsidP="00F6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Duomenų struktūrų naudojimas.</w:t>
            </w:r>
          </w:p>
        </w:tc>
        <w:tc>
          <w:tcPr>
            <w:tcW w:w="850" w:type="dxa"/>
          </w:tcPr>
          <w:p w14:paraId="49AE25E1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D12D9" w:rsidRPr="006D12D9" w14:paraId="4537C9AD" w14:textId="77777777" w:rsidTr="00F679D5">
        <w:tc>
          <w:tcPr>
            <w:tcW w:w="2263" w:type="dxa"/>
            <w:vMerge/>
            <w:vAlign w:val="center"/>
          </w:tcPr>
          <w:p w14:paraId="6BF8A9EA" w14:textId="77777777" w:rsidR="006D12D9" w:rsidRPr="006D12D9" w:rsidRDefault="006D12D9" w:rsidP="00F67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3D9B79F5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Algoritmai. Pristatomi dvejetainės paieškos, trumpiausio kelio algoritmai.</w:t>
            </w:r>
          </w:p>
        </w:tc>
        <w:tc>
          <w:tcPr>
            <w:tcW w:w="850" w:type="dxa"/>
          </w:tcPr>
          <w:p w14:paraId="10A280E7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12D9" w:rsidRPr="006D12D9" w14:paraId="448F3E26" w14:textId="77777777" w:rsidTr="00F679D5">
        <w:tc>
          <w:tcPr>
            <w:tcW w:w="2263" w:type="dxa"/>
            <w:vMerge/>
            <w:vAlign w:val="center"/>
          </w:tcPr>
          <w:p w14:paraId="0840CEB0" w14:textId="77777777" w:rsidR="006D12D9" w:rsidRPr="006D12D9" w:rsidRDefault="006D12D9" w:rsidP="00F67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3945EB70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Programų testavimas ir taisymas.</w:t>
            </w:r>
          </w:p>
        </w:tc>
        <w:tc>
          <w:tcPr>
            <w:tcW w:w="850" w:type="dxa"/>
          </w:tcPr>
          <w:p w14:paraId="4A65F5B0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12D9" w:rsidRPr="006D12D9" w14:paraId="488F37C4" w14:textId="77777777" w:rsidTr="00F679D5">
        <w:tc>
          <w:tcPr>
            <w:tcW w:w="2263" w:type="dxa"/>
            <w:vMerge/>
            <w:vAlign w:val="center"/>
          </w:tcPr>
          <w:p w14:paraId="46501025" w14:textId="77777777" w:rsidR="006D12D9" w:rsidRPr="006D12D9" w:rsidRDefault="006D12D9" w:rsidP="00F67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08883B34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D12D9"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</w:rPr>
              <w:t>Grupinio programavimo sistemos.</w:t>
            </w:r>
          </w:p>
        </w:tc>
        <w:tc>
          <w:tcPr>
            <w:tcW w:w="850" w:type="dxa"/>
          </w:tcPr>
          <w:p w14:paraId="6D53F29C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12D9" w:rsidRPr="006D12D9" w14:paraId="363A088E" w14:textId="77777777" w:rsidTr="00F679D5">
        <w:tc>
          <w:tcPr>
            <w:tcW w:w="2263" w:type="dxa"/>
            <w:vMerge w:val="restart"/>
            <w:vAlign w:val="center"/>
          </w:tcPr>
          <w:p w14:paraId="395B4607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</w:rPr>
              <w:t>Duomenų tyryba ir informacija</w:t>
            </w:r>
          </w:p>
        </w:tc>
        <w:tc>
          <w:tcPr>
            <w:tcW w:w="7088" w:type="dxa"/>
            <w:vAlign w:val="center"/>
          </w:tcPr>
          <w:p w14:paraId="7D9A3CA0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Informacijos (rezultatų) pateikimas.</w:t>
            </w:r>
          </w:p>
        </w:tc>
        <w:tc>
          <w:tcPr>
            <w:tcW w:w="850" w:type="dxa"/>
          </w:tcPr>
          <w:p w14:paraId="2114CE46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12D9" w:rsidRPr="006D12D9" w14:paraId="6150AC17" w14:textId="77777777" w:rsidTr="00F679D5">
        <w:tc>
          <w:tcPr>
            <w:tcW w:w="2263" w:type="dxa"/>
            <w:vMerge/>
            <w:vAlign w:val="center"/>
          </w:tcPr>
          <w:p w14:paraId="6B67011B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69A25A9F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</w:rPr>
              <w:t>Dirbtinis intelektas ir mašininis mokymasis.</w:t>
            </w:r>
          </w:p>
        </w:tc>
        <w:tc>
          <w:tcPr>
            <w:tcW w:w="850" w:type="dxa"/>
          </w:tcPr>
          <w:p w14:paraId="147B82AC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12D9" w:rsidRPr="006D12D9" w14:paraId="5D66DECA" w14:textId="77777777" w:rsidTr="00F679D5">
        <w:trPr>
          <w:trHeight w:val="50"/>
        </w:trPr>
        <w:tc>
          <w:tcPr>
            <w:tcW w:w="2263" w:type="dxa"/>
            <w:vMerge/>
            <w:vAlign w:val="center"/>
          </w:tcPr>
          <w:p w14:paraId="6EE6E39E" w14:textId="77777777" w:rsidR="006D12D9" w:rsidRPr="006D12D9" w:rsidRDefault="006D12D9" w:rsidP="00F67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2AB70881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Dirbtinis intelektas ir mašininis mokymasis.</w:t>
            </w:r>
          </w:p>
        </w:tc>
        <w:tc>
          <w:tcPr>
            <w:tcW w:w="850" w:type="dxa"/>
            <w:vAlign w:val="center"/>
          </w:tcPr>
          <w:p w14:paraId="4ACE0A1D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12D9" w:rsidRPr="006D12D9" w14:paraId="160F415E" w14:textId="77777777" w:rsidTr="00F679D5">
        <w:tc>
          <w:tcPr>
            <w:tcW w:w="2263" w:type="dxa"/>
            <w:vMerge w:val="restart"/>
            <w:vAlign w:val="center"/>
          </w:tcPr>
          <w:p w14:paraId="4E7DC692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</w:rPr>
              <w:t>Technologinių problemų sprendimas</w:t>
            </w:r>
          </w:p>
        </w:tc>
        <w:tc>
          <w:tcPr>
            <w:tcW w:w="7088" w:type="dxa"/>
            <w:vAlign w:val="center"/>
          </w:tcPr>
          <w:p w14:paraId="4A37AB0D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Skaitmeninių įrenginių ir programinės įrangos galimų sutrikimų aptarimas ir šalinimo būdų paieška.</w:t>
            </w:r>
          </w:p>
        </w:tc>
        <w:tc>
          <w:tcPr>
            <w:tcW w:w="850" w:type="dxa"/>
            <w:vAlign w:val="center"/>
          </w:tcPr>
          <w:p w14:paraId="54A9EDA9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12D9" w:rsidRPr="006D12D9" w14:paraId="1EB81AB3" w14:textId="77777777" w:rsidTr="00F679D5">
        <w:trPr>
          <w:trHeight w:val="196"/>
        </w:trPr>
        <w:tc>
          <w:tcPr>
            <w:tcW w:w="2263" w:type="dxa"/>
            <w:vMerge/>
            <w:vAlign w:val="center"/>
          </w:tcPr>
          <w:p w14:paraId="624B65E0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01901B18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6D12D9">
              <w:rPr>
                <w:rFonts w:ascii="Times New Roman" w:hAnsi="Times New Roman" w:cs="Times New Roman"/>
                <w:color w:val="0070C0"/>
                <w:sz w:val="24"/>
                <w:szCs w:val="24"/>
                <w:lang w:eastAsia="ar-SA"/>
              </w:rPr>
              <w:t>Skaitmeninių gebėjimų spragų nustatymas ir savarankiškas mokymasis.</w:t>
            </w:r>
          </w:p>
        </w:tc>
        <w:tc>
          <w:tcPr>
            <w:tcW w:w="850" w:type="dxa"/>
            <w:vAlign w:val="center"/>
          </w:tcPr>
          <w:p w14:paraId="106C1D98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D9" w:rsidRPr="006D12D9" w14:paraId="6A704E76" w14:textId="77777777" w:rsidTr="00F679D5">
        <w:tc>
          <w:tcPr>
            <w:tcW w:w="2263" w:type="dxa"/>
            <w:vMerge w:val="restart"/>
            <w:vAlign w:val="center"/>
          </w:tcPr>
          <w:p w14:paraId="17E51923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Virtualioji komunikacija ir bendradarbiavimas</w:t>
            </w:r>
          </w:p>
        </w:tc>
        <w:tc>
          <w:tcPr>
            <w:tcW w:w="7088" w:type="dxa"/>
            <w:vAlign w:val="center"/>
          </w:tcPr>
          <w:p w14:paraId="4B021637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</w:pPr>
            <w:r w:rsidRPr="006D12D9"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  <w:lang w:eastAsia="en-US"/>
              </w:rPr>
              <w:t>Skaitmeninių komunikavimo ir bendradarbiavimo technologijų įvairovė ir svarba.</w:t>
            </w:r>
          </w:p>
        </w:tc>
        <w:tc>
          <w:tcPr>
            <w:tcW w:w="850" w:type="dxa"/>
            <w:vAlign w:val="center"/>
          </w:tcPr>
          <w:p w14:paraId="2A1B0A8B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12D9" w:rsidRPr="006D12D9" w14:paraId="566376AF" w14:textId="77777777" w:rsidTr="00F679D5">
        <w:tc>
          <w:tcPr>
            <w:tcW w:w="2263" w:type="dxa"/>
            <w:vMerge/>
            <w:vAlign w:val="center"/>
          </w:tcPr>
          <w:p w14:paraId="717EE825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2C9CC722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Skaitmeninių komunikavimo ir bendravimo technologijų įvairovė ir svarba.</w:t>
            </w:r>
          </w:p>
        </w:tc>
        <w:tc>
          <w:tcPr>
            <w:tcW w:w="850" w:type="dxa"/>
            <w:vAlign w:val="center"/>
          </w:tcPr>
          <w:p w14:paraId="15902837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D9" w:rsidRPr="006D12D9" w14:paraId="19496991" w14:textId="77777777" w:rsidTr="00F679D5">
        <w:trPr>
          <w:trHeight w:val="562"/>
        </w:trPr>
        <w:tc>
          <w:tcPr>
            <w:tcW w:w="2263" w:type="dxa"/>
            <w:vMerge/>
            <w:vAlign w:val="center"/>
          </w:tcPr>
          <w:p w14:paraId="40CCF3F6" w14:textId="77777777" w:rsidR="006D12D9" w:rsidRPr="006D12D9" w:rsidRDefault="006D12D9" w:rsidP="00F67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11B7FCC9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Virtualaus bendravimo ir bendradarbiavimo priemonių pasirinkimas ir pagrindimas.</w:t>
            </w:r>
          </w:p>
        </w:tc>
        <w:tc>
          <w:tcPr>
            <w:tcW w:w="850" w:type="dxa"/>
            <w:vAlign w:val="center"/>
          </w:tcPr>
          <w:p w14:paraId="5A696B62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D9" w:rsidRPr="006D12D9" w14:paraId="1054A891" w14:textId="77777777" w:rsidTr="00F679D5">
        <w:tc>
          <w:tcPr>
            <w:tcW w:w="2263" w:type="dxa"/>
            <w:vMerge w:val="restart"/>
            <w:vAlign w:val="center"/>
          </w:tcPr>
          <w:p w14:paraId="3063A6C9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</w:rPr>
              <w:t>Saugus elgesys</w:t>
            </w:r>
          </w:p>
        </w:tc>
        <w:tc>
          <w:tcPr>
            <w:tcW w:w="7088" w:type="dxa"/>
            <w:vAlign w:val="center"/>
          </w:tcPr>
          <w:p w14:paraId="7A022EF4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6D12D9">
              <w:rPr>
                <w:rFonts w:ascii="Times New Roman" w:hAnsi="Times New Roman" w:cs="Times New Roman"/>
                <w:color w:val="0070C0"/>
                <w:sz w:val="24"/>
                <w:szCs w:val="24"/>
                <w:lang w:eastAsia="ar-SA"/>
              </w:rPr>
              <w:t>Saugus ir sveikatą tausojantis darbas skaitmeniniu įrenginiu.</w:t>
            </w:r>
          </w:p>
        </w:tc>
        <w:tc>
          <w:tcPr>
            <w:tcW w:w="850" w:type="dxa"/>
            <w:vAlign w:val="center"/>
          </w:tcPr>
          <w:p w14:paraId="40D040D9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D9" w:rsidRPr="006D12D9" w14:paraId="37B019D4" w14:textId="77777777" w:rsidTr="00F679D5">
        <w:tc>
          <w:tcPr>
            <w:tcW w:w="2263" w:type="dxa"/>
            <w:vMerge/>
            <w:vAlign w:val="center"/>
          </w:tcPr>
          <w:p w14:paraId="1AD36D16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3C0CB77D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12D9"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  <w:lang w:eastAsia="en-US"/>
              </w:rPr>
              <w:t>Higienos, ergonominių ir techninių saugaus darbo skaitmeninėmis technologijomis problemų sprendimas.</w:t>
            </w:r>
          </w:p>
        </w:tc>
        <w:tc>
          <w:tcPr>
            <w:tcW w:w="850" w:type="dxa"/>
            <w:vAlign w:val="center"/>
          </w:tcPr>
          <w:p w14:paraId="4EE80FB9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D9" w:rsidRPr="006D12D9" w14:paraId="26D90BDB" w14:textId="77777777" w:rsidTr="00F679D5">
        <w:tc>
          <w:tcPr>
            <w:tcW w:w="2263" w:type="dxa"/>
            <w:vMerge/>
            <w:vAlign w:val="center"/>
          </w:tcPr>
          <w:p w14:paraId="79DBA9E3" w14:textId="77777777" w:rsidR="006D12D9" w:rsidRPr="006D12D9" w:rsidRDefault="006D12D9" w:rsidP="00F67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7B115B6D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12D9">
              <w:rPr>
                <w:rFonts w:ascii="Times New Roman" w:eastAsiaTheme="minorHAnsi" w:hAnsi="Times New Roman" w:cs="Times New Roman"/>
                <w:color w:val="00B050"/>
                <w:sz w:val="24"/>
                <w:szCs w:val="24"/>
                <w:lang w:eastAsia="en-US"/>
              </w:rPr>
              <w:t>Poveikio aplinkai prognozė taikant skaitmenines technologijas</w:t>
            </w:r>
            <w:r w:rsidRPr="006D12D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63ED6F70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12D9" w:rsidRPr="006D12D9" w14:paraId="75DBA6BE" w14:textId="77777777" w:rsidTr="00F679D5">
        <w:tc>
          <w:tcPr>
            <w:tcW w:w="2263" w:type="dxa"/>
            <w:vMerge/>
            <w:vAlign w:val="center"/>
          </w:tcPr>
          <w:p w14:paraId="6FA8A72C" w14:textId="77777777" w:rsidR="006D12D9" w:rsidRPr="006D12D9" w:rsidRDefault="006D12D9" w:rsidP="00F67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3422424A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Asmens duomenų teisėtas naudojimas.</w:t>
            </w:r>
          </w:p>
        </w:tc>
        <w:tc>
          <w:tcPr>
            <w:tcW w:w="850" w:type="dxa"/>
            <w:vAlign w:val="center"/>
          </w:tcPr>
          <w:p w14:paraId="2155DBBD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D9" w:rsidRPr="006D12D9" w14:paraId="336642E1" w14:textId="77777777" w:rsidTr="00F679D5">
        <w:trPr>
          <w:trHeight w:val="198"/>
        </w:trPr>
        <w:tc>
          <w:tcPr>
            <w:tcW w:w="2263" w:type="dxa"/>
            <w:vMerge/>
            <w:vAlign w:val="center"/>
          </w:tcPr>
          <w:p w14:paraId="0698B300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14:paraId="2B17B0BD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Elektroninis parašas ir duomenų šifravimas.</w:t>
            </w:r>
          </w:p>
        </w:tc>
        <w:tc>
          <w:tcPr>
            <w:tcW w:w="850" w:type="dxa"/>
            <w:vAlign w:val="center"/>
          </w:tcPr>
          <w:p w14:paraId="46E3FCCE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12D9" w:rsidRPr="006D12D9" w14:paraId="24433631" w14:textId="77777777" w:rsidTr="00F679D5">
        <w:trPr>
          <w:trHeight w:val="85"/>
        </w:trPr>
        <w:tc>
          <w:tcPr>
            <w:tcW w:w="9351" w:type="dxa"/>
            <w:gridSpan w:val="2"/>
            <w:vAlign w:val="center"/>
          </w:tcPr>
          <w:p w14:paraId="7520759F" w14:textId="77777777" w:rsidR="006D12D9" w:rsidRPr="006D12D9" w:rsidRDefault="006D12D9" w:rsidP="00F679D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hAnsi="Times New Roman" w:cs="Times New Roman"/>
                <w:sz w:val="24"/>
                <w:szCs w:val="24"/>
              </w:rPr>
              <w:t>Kurso kartojimas.</w:t>
            </w:r>
          </w:p>
        </w:tc>
        <w:tc>
          <w:tcPr>
            <w:tcW w:w="850" w:type="dxa"/>
            <w:vAlign w:val="center"/>
          </w:tcPr>
          <w:p w14:paraId="794D4454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12D9" w:rsidRPr="006D12D9" w14:paraId="3A1E0387" w14:textId="77777777" w:rsidTr="00F679D5">
        <w:trPr>
          <w:trHeight w:val="314"/>
        </w:trPr>
        <w:tc>
          <w:tcPr>
            <w:tcW w:w="9351" w:type="dxa"/>
            <w:gridSpan w:val="2"/>
            <w:vAlign w:val="center"/>
          </w:tcPr>
          <w:p w14:paraId="4182AA07" w14:textId="0F3234FE" w:rsidR="006D12D9" w:rsidRPr="006D12D9" w:rsidRDefault="00C45D3F" w:rsidP="00F6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</w:t>
            </w:r>
            <w:bookmarkStart w:id="0" w:name="_GoBack"/>
            <w:bookmarkEnd w:id="0"/>
            <w:r w:rsidR="006D12D9" w:rsidRPr="006D1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iso:</w:t>
            </w:r>
          </w:p>
        </w:tc>
        <w:tc>
          <w:tcPr>
            <w:tcW w:w="850" w:type="dxa"/>
            <w:vAlign w:val="center"/>
          </w:tcPr>
          <w:p w14:paraId="4CC1992C" w14:textId="77777777" w:rsidR="006D12D9" w:rsidRPr="006D12D9" w:rsidRDefault="006D12D9" w:rsidP="00F6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14:paraId="2CE4EEE4" w14:textId="65AD5BB8" w:rsidR="00D02191" w:rsidRDefault="00D02191" w:rsidP="00CD56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2191" w:rsidSect="00D02191">
      <w:pgSz w:w="11906" w:h="16838"/>
      <w:pgMar w:top="1134" w:right="567" w:bottom="851" w:left="1134" w:header="567" w:footer="567" w:gutter="0"/>
      <w:pgNumType w:start="1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9F"/>
    <w:rsid w:val="00056F00"/>
    <w:rsid w:val="001E01F8"/>
    <w:rsid w:val="001F1568"/>
    <w:rsid w:val="00296FAC"/>
    <w:rsid w:val="00341AE1"/>
    <w:rsid w:val="003653AC"/>
    <w:rsid w:val="004D7988"/>
    <w:rsid w:val="00553584"/>
    <w:rsid w:val="0066374C"/>
    <w:rsid w:val="006D12D9"/>
    <w:rsid w:val="0070609F"/>
    <w:rsid w:val="007721C0"/>
    <w:rsid w:val="008248B9"/>
    <w:rsid w:val="008C1DD6"/>
    <w:rsid w:val="00A001E2"/>
    <w:rsid w:val="00A6465B"/>
    <w:rsid w:val="00C45D3F"/>
    <w:rsid w:val="00CD564A"/>
    <w:rsid w:val="00D02191"/>
    <w:rsid w:val="00D2280F"/>
    <w:rsid w:val="00D85582"/>
    <w:rsid w:val="00F105E1"/>
    <w:rsid w:val="00F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1BE6"/>
  <w15:docId w15:val="{2B72D385-720A-47B8-987A-A8595CA2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39"/>
    <w:rsid w:val="001D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okykla.lt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nauja.emokykla.lt/bendrosios-programos/visos-bendrosios-programos/3?ta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5" ma:contentTypeDescription="Kurkite naują dokumentą." ma:contentTypeScope="" ma:versionID="181aa40cf6b8404029458a8b881d7a1a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d7ed9cd24fa1d9bffa8a4b1aa4c0739f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Y/ZTUhCaF6YdHEsr3R9vPiV+Jg==">AMUW2mWBCzHZt4c3ulYyqq65K1owXMv1KX6m/gPSlXmW6elSD+DIGdmUDiZ6/gIco0mA99D3vpvYnu/x0a2+DZtoiiurwGmqRAztc5XXJksIL2rr1RM0Zx8v6ucl9nZJgqBhKnQ0Z8lj</go:docsCustomData>
</go:gDocsCustomXmlDataStorage>
</file>

<file path=customXml/itemProps1.xml><?xml version="1.0" encoding="utf-8"?>
<ds:datastoreItem xmlns:ds="http://schemas.openxmlformats.org/officeDocument/2006/customXml" ds:itemID="{1550AEA5-A987-40B3-A592-130C3D559AEC}">
  <ds:schemaRefs>
    <ds:schemaRef ds:uri="http://schemas.microsoft.com/office/2006/metadata/properties"/>
    <ds:schemaRef ds:uri="http://schemas.microsoft.com/office/infopath/2007/PartnerControls"/>
    <ds:schemaRef ds:uri="441e4d8e-a8ab-46be-9694-e40af28e9c61"/>
  </ds:schemaRefs>
</ds:datastoreItem>
</file>

<file path=customXml/itemProps2.xml><?xml version="1.0" encoding="utf-8"?>
<ds:datastoreItem xmlns:ds="http://schemas.openxmlformats.org/officeDocument/2006/customXml" ds:itemID="{B39C5218-DAA4-4E00-848E-0B5940FFA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2D3A3-4EF4-4EEA-BB6F-0F8C92D2D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2520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Nacionaline svietimo agentura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Povilas Leonavičius</dc:creator>
  <cp:lastModifiedBy>Povilas Leonavičius</cp:lastModifiedBy>
  <cp:revision>5</cp:revision>
  <dcterms:created xsi:type="dcterms:W3CDTF">2023-07-03T12:35:00Z</dcterms:created>
  <dcterms:modified xsi:type="dcterms:W3CDTF">2023-07-04T14:08:00Z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