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67A2F" w14:textId="77777777" w:rsidR="00025ECA" w:rsidRDefault="00025ECA" w:rsidP="00025ECA">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MUZIKOS</w:t>
      </w:r>
      <w:r w:rsidRPr="006F7986">
        <w:rPr>
          <w:rFonts w:ascii="Times New Roman" w:eastAsia="Times New Roman" w:hAnsi="Times New Roman" w:cs="Times New Roman"/>
          <w:b/>
          <w:bCs/>
          <w:sz w:val="24"/>
          <w:szCs w:val="24"/>
          <w:lang w:eastAsia="lt-LT"/>
        </w:rPr>
        <w:t xml:space="preserve"> ILGALAIKIS PLANAS </w:t>
      </w:r>
    </w:p>
    <w:p w14:paraId="5FE6A50F" w14:textId="0930CB86" w:rsidR="00025ECA" w:rsidRPr="008F43FA" w:rsidRDefault="008F43FA" w:rsidP="00025ECA">
      <w:pPr>
        <w:spacing w:after="0" w:line="240" w:lineRule="auto"/>
        <w:jc w:val="center"/>
        <w:textAlignment w:val="baseline"/>
        <w:rPr>
          <w:rFonts w:ascii="Times New Roman" w:eastAsia="Times New Roman" w:hAnsi="Times New Roman" w:cs="Times New Roman"/>
          <w:b/>
          <w:bCs/>
          <w:sz w:val="24"/>
          <w:szCs w:val="24"/>
          <w:lang w:eastAsia="lt-LT"/>
        </w:rPr>
      </w:pPr>
      <w:r w:rsidRPr="008F43FA">
        <w:rPr>
          <w:rFonts w:ascii="Times New Roman" w:eastAsia="Times New Roman" w:hAnsi="Times New Roman" w:cs="Times New Roman"/>
          <w:b/>
          <w:bCs/>
          <w:sz w:val="24"/>
          <w:szCs w:val="24"/>
          <w:lang w:eastAsia="lt-LT"/>
        </w:rPr>
        <w:t xml:space="preserve">9–10 ir </w:t>
      </w:r>
      <w:r w:rsidR="005B16F8">
        <w:rPr>
          <w:rFonts w:ascii="Times New Roman" w:eastAsia="Times New Roman" w:hAnsi="Times New Roman" w:cs="Times New Roman"/>
          <w:b/>
          <w:bCs/>
          <w:sz w:val="24"/>
          <w:szCs w:val="24"/>
          <w:lang w:eastAsia="lt-LT"/>
        </w:rPr>
        <w:t>I</w:t>
      </w:r>
      <w:r w:rsidRPr="008F43FA">
        <w:rPr>
          <w:rFonts w:ascii="Times New Roman" w:eastAsia="Times New Roman" w:hAnsi="Times New Roman" w:cs="Times New Roman"/>
          <w:b/>
          <w:bCs/>
          <w:sz w:val="24"/>
          <w:szCs w:val="24"/>
          <w:lang w:eastAsia="lt-LT"/>
        </w:rPr>
        <w:t>–</w:t>
      </w:r>
      <w:r w:rsidR="005B16F8">
        <w:rPr>
          <w:rFonts w:ascii="Times New Roman" w:eastAsia="Times New Roman" w:hAnsi="Times New Roman" w:cs="Times New Roman"/>
          <w:b/>
          <w:bCs/>
          <w:sz w:val="24"/>
          <w:szCs w:val="24"/>
          <w:lang w:eastAsia="lt-LT"/>
        </w:rPr>
        <w:t xml:space="preserve">II </w:t>
      </w:r>
      <w:r w:rsidR="009A2412">
        <w:rPr>
          <w:rFonts w:ascii="Times New Roman" w:eastAsia="Times New Roman" w:hAnsi="Times New Roman" w:cs="Times New Roman"/>
          <w:b/>
          <w:bCs/>
          <w:sz w:val="24"/>
          <w:szCs w:val="24"/>
          <w:lang w:eastAsia="lt-LT"/>
        </w:rPr>
        <w:t>GIMNAZIJOS KLASEI</w:t>
      </w:r>
    </w:p>
    <w:p w14:paraId="2E571C46" w14:textId="77777777" w:rsidR="00025ECA" w:rsidRPr="006F7986" w:rsidRDefault="00025ECA" w:rsidP="00025ECA">
      <w:pPr>
        <w:spacing w:after="0" w:line="240" w:lineRule="auto"/>
        <w:jc w:val="center"/>
        <w:textAlignment w:val="baseline"/>
        <w:rPr>
          <w:rFonts w:ascii="Segoe UI" w:eastAsia="Times New Roman" w:hAnsi="Segoe UI" w:cs="Segoe UI"/>
          <w:sz w:val="18"/>
          <w:szCs w:val="18"/>
          <w:lang w:eastAsia="lt-LT"/>
        </w:rPr>
      </w:pPr>
    </w:p>
    <w:p w14:paraId="08EF1391" w14:textId="77777777" w:rsidR="002824CF" w:rsidRDefault="002824CF" w:rsidP="002824CF">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Muzikos bendrosios programos (toliau – BP) įgyvendinimo rekomendacijų dalyje </w:t>
      </w:r>
      <w:hyperlink r:id="rId8" w:tgtFrame="_blank" w:history="1">
        <w:r>
          <w:rPr>
            <w:rStyle w:val="normaltextrun"/>
            <w:i/>
            <w:iCs/>
            <w:color w:val="0563C1"/>
            <w:u w:val="single"/>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rPr>
          <w:t>Švietimo portale</w:t>
        </w:r>
      </w:hyperlink>
      <w:r>
        <w:rPr>
          <w:rStyle w:val="normaltextrun"/>
        </w:rPr>
        <w:t xml:space="preserve"> pateiktos BP </w:t>
      </w:r>
      <w:hyperlink r:id="rId10" w:tgtFrame="_blank" w:history="1">
        <w:r>
          <w:rPr>
            <w:rStyle w:val="normaltextrun"/>
            <w:color w:val="0563C1"/>
            <w:u w:val="single"/>
          </w:rPr>
          <w:t>atvaizdavimu</w:t>
        </w:r>
      </w:hyperlink>
      <w:r>
        <w:rPr>
          <w:rStyle w:val="normaltextrun"/>
        </w:rPr>
        <w:t xml:space="preserve"> su mokymo(si) turinio, pasiekimų, kompetencijų ir tarpdalykinių temų nurodytomis sąsajomis.</w:t>
      </w:r>
      <w:r>
        <w:rPr>
          <w:rStyle w:val="eop"/>
        </w:rPr>
        <w:t> </w:t>
      </w:r>
    </w:p>
    <w:p w14:paraId="56CE6842" w14:textId="77777777" w:rsidR="002824CF" w:rsidRDefault="002824CF" w:rsidP="002824CF">
      <w:pPr>
        <w:pStyle w:val="paragraph"/>
        <w:spacing w:before="0" w:beforeAutospacing="0" w:after="0" w:afterAutospacing="0"/>
        <w:ind w:firstLine="345"/>
        <w:jc w:val="both"/>
        <w:textAlignment w:val="baseline"/>
      </w:pPr>
      <w:hyperlink r:id="rId11" w:history="1">
        <w:r w:rsidRPr="006A03EE">
          <w:rPr>
            <w:rStyle w:val="Hipersaitas"/>
          </w:rPr>
          <w:t>Kompetencijos</w:t>
        </w:r>
      </w:hyperlink>
      <w:r>
        <w:rPr>
          <w:rStyle w:val="normaltextrun"/>
        </w:rPr>
        <w:t xml:space="preserve"> nurodomos prie kiekvieno pasirinkto koncentro pasiekimo:</w:t>
      </w:r>
      <w:r>
        <w:rPr>
          <w:rStyle w:val="eop"/>
        </w:rPr>
        <w:t> </w:t>
      </w:r>
    </w:p>
    <w:p w14:paraId="48736FB6" w14:textId="77777777" w:rsidR="00025ECA" w:rsidRDefault="00025ECA" w:rsidP="00025ECA">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0F9163AD" w14:textId="77777777" w:rsidR="00025ECA" w:rsidRDefault="00025ECA" w:rsidP="00025ECA">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3BC53879" wp14:editId="1814402B">
            <wp:extent cx="5136052" cy="2495550"/>
            <wp:effectExtent l="0" t="0" r="762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8268" cy="2525780"/>
                    </a:xfrm>
                    <a:prstGeom prst="rect">
                      <a:avLst/>
                    </a:prstGeom>
                  </pic:spPr>
                </pic:pic>
              </a:graphicData>
            </a:graphic>
          </wp:inline>
        </w:drawing>
      </w:r>
    </w:p>
    <w:p w14:paraId="57A98D0F" w14:textId="77777777" w:rsidR="00025ECA" w:rsidRDefault="00025ECA" w:rsidP="00025ECA">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1E954E8B" w14:textId="77777777" w:rsidR="00025ECA" w:rsidRDefault="00025ECA" w:rsidP="00025ECA">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60F2F905" w14:textId="77777777" w:rsidR="00025ECA" w:rsidRDefault="00025ECA" w:rsidP="00025ECA">
      <w:pPr>
        <w:spacing w:after="0" w:line="240" w:lineRule="auto"/>
        <w:textAlignment w:val="baseline"/>
        <w:rPr>
          <w:rFonts w:ascii="Times New Roman" w:eastAsia="Times New Roman" w:hAnsi="Times New Roman" w:cs="Times New Roman"/>
          <w:sz w:val="24"/>
          <w:szCs w:val="24"/>
          <w:lang w:eastAsia="lt-LT"/>
        </w:rPr>
      </w:pPr>
    </w:p>
    <w:p w14:paraId="64481C71" w14:textId="54EDA86B" w:rsidR="00025ECA" w:rsidRDefault="008F43FA" w:rsidP="008F43FA">
      <w:pPr>
        <w:spacing w:after="0" w:line="240" w:lineRule="auto"/>
        <w:ind w:left="426" w:firstLine="141"/>
        <w:textAlignment w:val="baseline"/>
        <w:rPr>
          <w:rFonts w:ascii="Times New Roman" w:eastAsia="Times New Roman" w:hAnsi="Times New Roman" w:cs="Times New Roman"/>
          <w:sz w:val="24"/>
          <w:szCs w:val="24"/>
          <w:lang w:eastAsia="lt-LT"/>
        </w:rPr>
      </w:pPr>
      <w:r>
        <w:rPr>
          <w:noProof/>
        </w:rPr>
        <w:drawing>
          <wp:inline distT="0" distB="0" distL="0" distR="0" wp14:anchorId="3C62E9F6" wp14:editId="5FC13CF7">
            <wp:extent cx="4756150" cy="2813817"/>
            <wp:effectExtent l="0" t="0" r="6350" b="571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4800" cy="2818934"/>
                    </a:xfrm>
                    <a:prstGeom prst="rect">
                      <a:avLst/>
                    </a:prstGeom>
                  </pic:spPr>
                </pic:pic>
              </a:graphicData>
            </a:graphic>
          </wp:inline>
        </w:drawing>
      </w:r>
    </w:p>
    <w:p w14:paraId="3D77FCE8" w14:textId="77777777" w:rsidR="00025ECA" w:rsidRDefault="00025ECA" w:rsidP="00025ECA">
      <w:pPr>
        <w:spacing w:after="0" w:line="240" w:lineRule="auto"/>
        <w:jc w:val="both"/>
        <w:textAlignment w:val="baseline"/>
        <w:rPr>
          <w:rFonts w:ascii="Times New Roman" w:eastAsia="Times New Roman" w:hAnsi="Times New Roman" w:cs="Times New Roman"/>
          <w:sz w:val="24"/>
          <w:szCs w:val="24"/>
          <w:lang w:eastAsia="lt-LT"/>
        </w:rPr>
      </w:pPr>
    </w:p>
    <w:p w14:paraId="3F2E32AA" w14:textId="06E44112" w:rsidR="00025ECA" w:rsidRDefault="002824CF" w:rsidP="00025ECA">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4" w:history="1">
        <w:r w:rsidRPr="006A03EE">
          <w:rPr>
            <w:rStyle w:val="Hipersaitas"/>
            <w:rFonts w:ascii="Times New Roman" w:eastAsia="Times New Roman" w:hAnsi="Times New Roman" w:cs="Times New Roman"/>
            <w:sz w:val="24"/>
            <w:szCs w:val="24"/>
            <w:lang w:eastAsia="lt-LT"/>
          </w:rPr>
          <w:t>Tarpdalykinės temos</w:t>
        </w:r>
      </w:hyperlink>
      <w:r w:rsidRPr="006F7986">
        <w:rPr>
          <w:rFonts w:ascii="Times New Roman" w:eastAsia="Times New Roman" w:hAnsi="Times New Roman" w:cs="Times New Roman"/>
          <w:sz w:val="24"/>
          <w:szCs w:val="24"/>
          <w:lang w:eastAsia="lt-LT"/>
        </w:rPr>
        <w:t xml:space="preserve"> nurodomos </w:t>
      </w:r>
      <w:r w:rsidR="00025ECA" w:rsidRPr="006F7986">
        <w:rPr>
          <w:rFonts w:ascii="Times New Roman" w:eastAsia="Times New Roman" w:hAnsi="Times New Roman" w:cs="Times New Roman"/>
          <w:sz w:val="24"/>
          <w:szCs w:val="24"/>
          <w:lang w:eastAsia="lt-LT"/>
        </w:rPr>
        <w:t>prie kiekvienos mokymo(si) turinio temos. Užvedus žymeklį ant prie temų pateiktų ikonėlių atsiveria langas, kuriame matoma tarpdalykinė tema ir su ja susieto(-ų) pasiekimo(-ų) ir (ar) mokymo(si) turinio temos(-ų) citatos: </w:t>
      </w:r>
    </w:p>
    <w:p w14:paraId="6A5A6A30" w14:textId="77777777" w:rsidR="00025ECA" w:rsidRDefault="00025ECA" w:rsidP="00025ECA">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29A8A9C0" w14:textId="7435A84B" w:rsidR="00025ECA" w:rsidRDefault="005B16F8" w:rsidP="005B16F8">
      <w:pPr>
        <w:spacing w:after="0" w:line="240" w:lineRule="auto"/>
        <w:ind w:left="-567" w:firstLine="993"/>
        <w:jc w:val="both"/>
        <w:textAlignment w:val="baseline"/>
        <w:rPr>
          <w:rFonts w:ascii="Times New Roman" w:eastAsia="Times New Roman" w:hAnsi="Times New Roman" w:cs="Times New Roman"/>
          <w:sz w:val="24"/>
          <w:szCs w:val="24"/>
          <w:lang w:eastAsia="lt-LT"/>
        </w:rPr>
      </w:pPr>
      <w:r>
        <w:rPr>
          <w:noProof/>
        </w:rPr>
        <w:drawing>
          <wp:inline distT="0" distB="0" distL="0" distR="0" wp14:anchorId="3533E15F" wp14:editId="74BC3B23">
            <wp:extent cx="5257800" cy="2696000"/>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7128" cy="2705911"/>
                    </a:xfrm>
                    <a:prstGeom prst="rect">
                      <a:avLst/>
                    </a:prstGeom>
                  </pic:spPr>
                </pic:pic>
              </a:graphicData>
            </a:graphic>
          </wp:inline>
        </w:drawing>
      </w:r>
    </w:p>
    <w:p w14:paraId="49864BBE" w14:textId="77777777" w:rsidR="005B16F8" w:rsidRDefault="005B16F8" w:rsidP="00025ECA">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284CED90" w14:textId="77777777" w:rsidR="002824CF" w:rsidRDefault="002824CF" w:rsidP="002824CF">
      <w:pPr>
        <w:pStyle w:val="paragraph"/>
        <w:spacing w:before="0" w:beforeAutospacing="0" w:after="0" w:afterAutospacing="0"/>
        <w:ind w:left="-567" w:firstLine="283"/>
        <w:jc w:val="both"/>
        <w:textAlignment w:val="baseline"/>
      </w:pPr>
      <w:r>
        <w:rPr>
          <w:rStyle w:val="normaltextrun"/>
        </w:rPr>
        <w:t>Dalyko ilgalaikiai planai yra pateikiami skiltyje „</w:t>
      </w:r>
      <w:hyperlink r:id="rId16" w:history="1">
        <w:r w:rsidRPr="006A03EE">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2A426C54" w14:textId="77777777" w:rsidR="002824CF" w:rsidRDefault="002824CF" w:rsidP="002824CF">
      <w:pPr>
        <w:pStyle w:val="paragraph"/>
        <w:numPr>
          <w:ilvl w:val="0"/>
          <w:numId w:val="1"/>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5142A323" w14:textId="77777777" w:rsidR="002824CF" w:rsidRDefault="002824CF" w:rsidP="002824CF">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047960A4" w14:textId="77777777" w:rsidR="002824CF" w:rsidRDefault="002824CF" w:rsidP="002824CF">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3F7D2EC6" w14:textId="77777777" w:rsidR="002824CF" w:rsidRDefault="002824CF" w:rsidP="002824CF">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40782870" w14:textId="77777777" w:rsidR="002824CF" w:rsidRDefault="002824CF" w:rsidP="002824CF">
      <w:pPr>
        <w:pStyle w:val="paragraph"/>
        <w:numPr>
          <w:ilvl w:val="0"/>
          <w:numId w:val="2"/>
        </w:numPr>
        <w:spacing w:before="0" w:beforeAutospacing="0" w:after="0" w:afterAutospacing="0"/>
        <w:ind w:left="-567" w:firstLine="927"/>
        <w:jc w:val="both"/>
        <w:textAlignment w:val="baseline"/>
        <w:rPr>
          <w:rStyle w:val="eop"/>
        </w:rPr>
      </w:pPr>
      <w:r>
        <w:rPr>
          <w:rStyle w:val="normaltextrun"/>
        </w:rPr>
        <w:t xml:space="preserve">stulpelyje </w:t>
      </w:r>
      <w:r>
        <w:rPr>
          <w:rStyle w:val="normaltextrun"/>
          <w:i/>
          <w:iCs/>
        </w:rPr>
        <w:t xml:space="preserve">Galimos mokinių </w:t>
      </w:r>
      <w:r w:rsidRPr="007736D0">
        <w:rPr>
          <w:rStyle w:val="normaltextrun"/>
        </w:rPr>
        <w:t xml:space="preserve">veiklos </w:t>
      </w:r>
      <w:r>
        <w:rPr>
          <w:rStyle w:val="normaltextrun"/>
        </w:rPr>
        <w:t xml:space="preserve">pateikiamas veiklų sąrašas yra susietas su BP įgyvendinimo rekomendacijų dalimi </w:t>
      </w:r>
      <w:hyperlink r:id="rId17" w:history="1">
        <w:r w:rsidRPr="008C4C72">
          <w:rPr>
            <w:rStyle w:val="Hipersaitas"/>
            <w:i/>
          </w:rPr>
          <w:t>Dalyko n</w:t>
        </w:r>
        <w:r w:rsidRPr="008C4C72">
          <w:rPr>
            <w:rStyle w:val="Hipersaitas"/>
            <w:i/>
          </w:rPr>
          <w:t>a</w:t>
        </w:r>
        <w:r w:rsidRPr="008C4C72">
          <w:rPr>
            <w:rStyle w:val="Hipersaitas"/>
            <w:i/>
          </w:rPr>
          <w:t>ujo turinio mokymo rekomendacijos</w:t>
        </w:r>
      </w:hyperlink>
      <w:r w:rsidRPr="007736D0">
        <w:rPr>
          <w:rStyle w:val="normaltextrun"/>
        </w:rPr>
        <w:t xml:space="preserve">, </w:t>
      </w:r>
      <w:r>
        <w:rPr>
          <w:rStyle w:val="normaltextrun"/>
        </w:rPr>
        <w:t>kurioje galima rasti išsamesnės informacijos apie ugdymo proceso organizavimą įgyvendinant atnaujintą BP.</w:t>
      </w:r>
      <w:r>
        <w:rPr>
          <w:rStyle w:val="eop"/>
        </w:rPr>
        <w:t> </w:t>
      </w:r>
    </w:p>
    <w:p w14:paraId="2467C5E7" w14:textId="77777777" w:rsidR="00025ECA" w:rsidRDefault="00025ECA" w:rsidP="00025ECA">
      <w:pPr>
        <w:pStyle w:val="paragraph"/>
        <w:spacing w:before="0" w:beforeAutospacing="0" w:after="0" w:afterAutospacing="0"/>
        <w:ind w:left="360"/>
        <w:jc w:val="both"/>
        <w:textAlignment w:val="baseline"/>
        <w:rPr>
          <w:rStyle w:val="eop"/>
        </w:rPr>
      </w:pPr>
      <w:bookmarkStart w:id="1" w:name="_GoBack"/>
      <w:bookmarkEnd w:id="1"/>
    </w:p>
    <w:p w14:paraId="3C1FF174" w14:textId="77777777" w:rsidR="00025ECA" w:rsidRDefault="00025ECA" w:rsidP="00025ECA">
      <w:pPr>
        <w:pStyle w:val="paragraph"/>
        <w:spacing w:before="0" w:beforeAutospacing="0" w:after="0" w:afterAutospacing="0"/>
        <w:ind w:left="360"/>
        <w:jc w:val="both"/>
        <w:textAlignment w:val="baseline"/>
        <w:rPr>
          <w:rStyle w:val="eop"/>
        </w:rPr>
      </w:pPr>
    </w:p>
    <w:p w14:paraId="307ED45F" w14:textId="4EBF6F48" w:rsidR="00025ECA" w:rsidRDefault="00025ECA" w:rsidP="00025ECA">
      <w:pPr>
        <w:pStyle w:val="paragraph"/>
        <w:spacing w:before="0" w:beforeAutospacing="0" w:after="0" w:afterAutospacing="0"/>
        <w:jc w:val="center"/>
        <w:textAlignment w:val="baseline"/>
        <w:rPr>
          <w:rStyle w:val="eop"/>
        </w:rPr>
      </w:pPr>
      <w:r>
        <w:rPr>
          <w:rStyle w:val="normaltextrun"/>
          <w:b/>
          <w:bCs/>
          <w:color w:val="000000"/>
          <w:shd w:val="clear" w:color="auto" w:fill="FFFFFF"/>
        </w:rPr>
        <w:t xml:space="preserve">MUZIKOS ILGALAIKIS PLANAS </w:t>
      </w:r>
      <w:r w:rsidR="009A2412" w:rsidRPr="008F43FA">
        <w:rPr>
          <w:b/>
          <w:bCs/>
        </w:rPr>
        <w:t xml:space="preserve">9–10 ir </w:t>
      </w:r>
      <w:r w:rsidR="009A2412">
        <w:rPr>
          <w:b/>
          <w:bCs/>
        </w:rPr>
        <w:t>I</w:t>
      </w:r>
      <w:r w:rsidR="009A2412" w:rsidRPr="008F43FA">
        <w:rPr>
          <w:b/>
          <w:bCs/>
        </w:rPr>
        <w:t>–</w:t>
      </w:r>
      <w:r w:rsidR="009A2412">
        <w:rPr>
          <w:b/>
          <w:bCs/>
        </w:rPr>
        <w:t xml:space="preserve">II GIMNAZIJOS </w:t>
      </w:r>
      <w:r>
        <w:rPr>
          <w:rStyle w:val="normaltextrun"/>
          <w:b/>
          <w:bCs/>
          <w:color w:val="000000"/>
          <w:shd w:val="clear" w:color="auto" w:fill="FFFFFF"/>
        </w:rPr>
        <w:t>KLASEI</w:t>
      </w:r>
    </w:p>
    <w:p w14:paraId="0CA60334" w14:textId="77777777" w:rsidR="00025ECA" w:rsidRDefault="00025ECA" w:rsidP="00025ECA">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57D58854" w14:textId="77777777" w:rsidR="00025ECA" w:rsidRPr="006F7986" w:rsidRDefault="00025ECA" w:rsidP="00025ECA">
      <w:pPr>
        <w:spacing w:after="0" w:line="240" w:lineRule="auto"/>
        <w:ind w:left="-567" w:firstLine="567"/>
        <w:textAlignment w:val="baseline"/>
        <w:rPr>
          <w:rFonts w:ascii="Segoe UI" w:eastAsia="Times New Roman" w:hAnsi="Segoe UI" w:cs="Segoe UI"/>
          <w:sz w:val="18"/>
          <w:szCs w:val="18"/>
          <w:lang w:eastAsia="lt-LT"/>
        </w:rPr>
      </w:pPr>
      <w:r w:rsidRPr="006F7986">
        <w:rPr>
          <w:noProof/>
        </w:rPr>
        <w:drawing>
          <wp:inline distT="0" distB="0" distL="0" distR="0" wp14:anchorId="3DB6DF74" wp14:editId="2BA72E92">
            <wp:extent cx="4114800" cy="12065"/>
            <wp:effectExtent l="0" t="0" r="0" b="0"/>
            <wp:docPr id="1" name="Paveikslėlis 1" descr="C:\Users\ugnvai\AppData\Local\Microsoft\Windows\INetCache\Content.MSO\DCA9F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gnvai\AppData\Local\Microsoft\Windows\INetCache\Content.MSO\DCA9F4E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12065"/>
                    </a:xfrm>
                    <a:prstGeom prst="rect">
                      <a:avLst/>
                    </a:prstGeom>
                    <a:noFill/>
                    <a:ln>
                      <a:noFill/>
                    </a:ln>
                  </pic:spPr>
                </pic:pic>
              </a:graphicData>
            </a:graphic>
          </wp:inline>
        </w:drawing>
      </w:r>
      <w:r w:rsidRPr="006F7986">
        <w:rPr>
          <w:rFonts w:ascii="Times New Roman" w:eastAsia="Times New Roman" w:hAnsi="Times New Roman" w:cs="Times New Roman"/>
          <w:sz w:val="24"/>
          <w:szCs w:val="24"/>
          <w:lang w:eastAsia="lt-LT"/>
        </w:rPr>
        <w:t> </w:t>
      </w:r>
    </w:p>
    <w:p w14:paraId="35DBDF53" w14:textId="77777777" w:rsidR="00025ECA" w:rsidRDefault="00025ECA" w:rsidP="00025ECA">
      <w:pPr>
        <w:spacing w:after="0" w:line="240" w:lineRule="auto"/>
        <w:ind w:left="-567" w:firstLine="567"/>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4F1340B4" w14:textId="77777777" w:rsidR="00025ECA" w:rsidRPr="006F7986" w:rsidRDefault="00025ECA" w:rsidP="00025ECA">
      <w:pPr>
        <w:spacing w:after="0" w:line="240" w:lineRule="auto"/>
        <w:ind w:left="-567" w:firstLine="567"/>
        <w:jc w:val="both"/>
        <w:textAlignment w:val="baseline"/>
        <w:rPr>
          <w:rFonts w:ascii="Segoe UI" w:eastAsia="Times New Roman" w:hAnsi="Segoe UI" w:cs="Segoe UI"/>
          <w:sz w:val="18"/>
          <w:szCs w:val="18"/>
          <w:lang w:eastAsia="lt-LT"/>
        </w:rPr>
      </w:pPr>
    </w:p>
    <w:p w14:paraId="30A61328" w14:textId="77777777" w:rsidR="00025ECA" w:rsidRPr="006F7986" w:rsidRDefault="00025ECA" w:rsidP="00025ECA">
      <w:pPr>
        <w:spacing w:after="0" w:line="240" w:lineRule="auto"/>
        <w:ind w:left="-567" w:firstLine="567"/>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6E39B03B" w14:textId="77777777" w:rsidR="00025ECA" w:rsidRPr="006F7986" w:rsidRDefault="00025ECA" w:rsidP="00025ECA">
      <w:pPr>
        <w:spacing w:after="0" w:line="240" w:lineRule="auto"/>
        <w:ind w:left="-567" w:firstLine="567"/>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362ACB4F" w14:textId="77777777" w:rsidR="00025ECA" w:rsidRDefault="00025ECA" w:rsidP="00025ECA">
      <w:pPr>
        <w:spacing w:after="0" w:line="240" w:lineRule="auto"/>
        <w:ind w:left="-567" w:firstLine="567"/>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xml:space="preserve">Vertinimas: </w:t>
      </w:r>
    </w:p>
    <w:p w14:paraId="22C6638D" w14:textId="77777777" w:rsidR="00025ECA" w:rsidRDefault="00025ECA" w:rsidP="00025ECA">
      <w:pPr>
        <w:spacing w:after="0" w:line="240" w:lineRule="auto"/>
        <w:ind w:left="-567"/>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E5E780" w14:textId="77777777" w:rsidR="00025ECA" w:rsidRDefault="00025ECA" w:rsidP="00025ECA">
      <w:pPr>
        <w:spacing w:after="0" w:line="240" w:lineRule="auto"/>
        <w:ind w:left="-567"/>
        <w:textAlignment w:val="baseline"/>
        <w:rPr>
          <w:rFonts w:ascii="Times New Roman" w:eastAsia="Times New Roman" w:hAnsi="Times New Roman" w:cs="Times New Roman"/>
          <w:sz w:val="24"/>
          <w:szCs w:val="24"/>
          <w:lang w:eastAsia="lt-LT"/>
        </w:rPr>
      </w:pPr>
    </w:p>
    <w:p w14:paraId="21EED3B9" w14:textId="77777777" w:rsidR="00025ECA" w:rsidRDefault="00025ECA" w:rsidP="00025ECA">
      <w:pPr>
        <w:spacing w:after="0" w:line="240" w:lineRule="auto"/>
        <w:ind w:left="-567"/>
        <w:textAlignment w:val="baseline"/>
        <w:rPr>
          <w:rFonts w:ascii="Times New Roman" w:eastAsia="Times New Roman" w:hAnsi="Times New Roman" w:cs="Times New Roman"/>
          <w:sz w:val="24"/>
          <w:szCs w:val="24"/>
          <w:lang w:eastAsia="lt-LT"/>
        </w:rPr>
      </w:pPr>
    </w:p>
    <w:p w14:paraId="623D18DA" w14:textId="77777777" w:rsidR="00025ECA" w:rsidRDefault="00025ECA" w:rsidP="00025ECA">
      <w:pPr>
        <w:spacing w:after="0" w:line="240" w:lineRule="auto"/>
        <w:ind w:left="-567"/>
        <w:textAlignment w:val="baseline"/>
        <w:rPr>
          <w:rFonts w:ascii="Times New Roman" w:eastAsia="Times New Roman" w:hAnsi="Times New Roman" w:cs="Times New Roman"/>
          <w:sz w:val="24"/>
          <w:szCs w:val="24"/>
          <w:lang w:eastAsia="lt-LT"/>
        </w:rPr>
      </w:pPr>
    </w:p>
    <w:p w14:paraId="5CEF4952" w14:textId="77777777" w:rsidR="00025ECA" w:rsidRPr="00220C6E" w:rsidRDefault="00025ECA" w:rsidP="00025ECA">
      <w:pPr>
        <w:spacing w:after="0" w:line="240" w:lineRule="auto"/>
        <w:ind w:left="-567"/>
        <w:textAlignment w:val="baseline"/>
        <w:rPr>
          <w:rFonts w:ascii="Times New Roman" w:eastAsia="Times New Roman" w:hAnsi="Times New Roman" w:cs="Times New Roman"/>
          <w:sz w:val="24"/>
          <w:szCs w:val="24"/>
          <w:lang w:eastAsia="lt-LT"/>
        </w:rPr>
      </w:pPr>
    </w:p>
    <w:p w14:paraId="62DCBEBB" w14:textId="77777777" w:rsidR="00025ECA" w:rsidRPr="006F7986" w:rsidRDefault="00025ECA" w:rsidP="00025ECA">
      <w:pPr>
        <w:spacing w:after="0" w:line="240" w:lineRule="auto"/>
        <w:ind w:firstLine="1290"/>
        <w:textAlignment w:val="baseline"/>
        <w:rPr>
          <w:rFonts w:ascii="Segoe UI" w:eastAsia="Times New Roman" w:hAnsi="Segoe UI" w:cs="Segoe UI"/>
          <w:sz w:val="18"/>
          <w:szCs w:val="18"/>
          <w:lang w:eastAsia="lt-LT"/>
        </w:rPr>
      </w:pPr>
    </w:p>
    <w:tbl>
      <w:tblPr>
        <w:tblW w:w="10207"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984"/>
        <w:gridCol w:w="993"/>
        <w:gridCol w:w="992"/>
        <w:gridCol w:w="4536"/>
      </w:tblGrid>
      <w:tr w:rsidR="00025ECA" w:rsidRPr="006F7986" w14:paraId="58F67D46" w14:textId="77777777" w:rsidTr="002824CF">
        <w:trPr>
          <w:trHeight w:val="300"/>
        </w:trPr>
        <w:tc>
          <w:tcPr>
            <w:tcW w:w="1702"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498DF402" w14:textId="77777777" w:rsidR="00025ECA" w:rsidRPr="006F7986" w:rsidRDefault="00025ECA"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skyrius</w:t>
            </w:r>
            <w:r w:rsidRPr="006F7986">
              <w:rPr>
                <w:rFonts w:ascii="Times New Roman" w:eastAsia="Times New Roman" w:hAnsi="Times New Roman" w:cs="Times New Roman"/>
                <w:sz w:val="24"/>
                <w:szCs w:val="24"/>
                <w:lang w:eastAsia="lt-LT"/>
              </w:rPr>
              <w:t> </w:t>
            </w:r>
          </w:p>
        </w:tc>
        <w:tc>
          <w:tcPr>
            <w:tcW w:w="1984"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65D6D607" w14:textId="77777777" w:rsidR="00025ECA" w:rsidRPr="006F7986" w:rsidRDefault="00025ECA"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tema</w:t>
            </w:r>
            <w:r w:rsidRPr="006F7986">
              <w:rPr>
                <w:rFonts w:ascii="Times New Roman" w:eastAsia="Times New Roman" w:hAnsi="Times New Roman" w:cs="Times New Roman"/>
                <w:sz w:val="24"/>
                <w:szCs w:val="24"/>
                <w:lang w:eastAsia="lt-LT"/>
              </w:rPr>
              <w:t> </w:t>
            </w:r>
          </w:p>
        </w:tc>
        <w:tc>
          <w:tcPr>
            <w:tcW w:w="993"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7DDDBA8F" w14:textId="77777777" w:rsidR="00025ECA" w:rsidRPr="006F7986" w:rsidRDefault="00025ECA"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Val. sk.</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vAlign w:val="center"/>
          </w:tcPr>
          <w:p w14:paraId="3E4AEEFE" w14:textId="77777777" w:rsidR="00025ECA" w:rsidRPr="006F7986" w:rsidRDefault="00025ECA" w:rsidP="00C36E06">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4536"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5BBF679B" w14:textId="77777777" w:rsidR="00025ECA" w:rsidRPr="006F7986" w:rsidRDefault="00025ECA"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Galimos mokinių veiklos</w:t>
            </w:r>
            <w:r w:rsidRPr="006F7986">
              <w:rPr>
                <w:rFonts w:ascii="Times New Roman" w:eastAsia="Times New Roman" w:hAnsi="Times New Roman" w:cs="Times New Roman"/>
                <w:sz w:val="24"/>
                <w:szCs w:val="24"/>
                <w:lang w:eastAsia="lt-LT"/>
              </w:rPr>
              <w:t> </w:t>
            </w:r>
          </w:p>
        </w:tc>
      </w:tr>
      <w:tr w:rsidR="00025ECA" w:rsidRPr="006F7986" w14:paraId="2C779AF0" w14:textId="77777777" w:rsidTr="00C36E06">
        <w:trPr>
          <w:trHeight w:val="2022"/>
        </w:trPr>
        <w:tc>
          <w:tcPr>
            <w:tcW w:w="1702" w:type="dxa"/>
            <w:vMerge w:val="restart"/>
            <w:tcBorders>
              <w:top w:val="single" w:sz="6" w:space="0" w:color="909090"/>
              <w:left w:val="single" w:sz="6" w:space="0" w:color="909090"/>
              <w:right w:val="single" w:sz="6" w:space="0" w:color="909090"/>
            </w:tcBorders>
            <w:shd w:val="clear" w:color="auto" w:fill="auto"/>
            <w:hideMark/>
          </w:tcPr>
          <w:p w14:paraId="0330C9B7"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Muzikavimas (dainavimas, grojimas)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01B71873" w14:textId="2EBA23AF"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Lietuvių liaudies, Europos ir pasaulio tautų dainos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68319246" w14:textId="487726ED" w:rsidR="00025ECA" w:rsidRPr="006F53F4" w:rsidRDefault="00F25AE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00025ECA"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00025ECA"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50C5757E"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423954D1" w14:textId="612DD644"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Atliekama ir analizuojama lietuvių liaudies, Europos ir kitų pasaulio tautų liaudies kūryba. Mokomasi reikšti nuomonę apie muzikos socialinių funkcijų įvairovę. Pristatomos ir komentuojamos pažangių technologijų ir inovacijų galimybės meno pažinimo srityje. </w:t>
            </w:r>
          </w:p>
        </w:tc>
      </w:tr>
      <w:tr w:rsidR="00025ECA" w:rsidRPr="006F7986" w14:paraId="1A9DC773" w14:textId="77777777" w:rsidTr="00F25AE7">
        <w:trPr>
          <w:trHeight w:val="1689"/>
        </w:trPr>
        <w:tc>
          <w:tcPr>
            <w:tcW w:w="1702" w:type="dxa"/>
            <w:vMerge/>
            <w:tcBorders>
              <w:left w:val="single" w:sz="6" w:space="0" w:color="909090"/>
              <w:right w:val="single" w:sz="6" w:space="0" w:color="909090"/>
            </w:tcBorders>
            <w:shd w:val="clear" w:color="auto" w:fill="auto"/>
            <w:vAlign w:val="center"/>
            <w:hideMark/>
          </w:tcPr>
          <w:p w14:paraId="037FA7D5" w14:textId="77777777" w:rsidR="00025ECA" w:rsidRPr="006F53F4" w:rsidRDefault="00025ECA"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53564429" w14:textId="6CB4A0E2"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Autorinė daina</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2F81B20F" w14:textId="3E60284D" w:rsidR="00025ECA" w:rsidRPr="006F53F4" w:rsidRDefault="00F25AE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1D98C923"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0968F579" w14:textId="17C4E99E"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Aptariami ir atliekami pasirinktos tematikos (satyrinė, protesto, meilės ir kitos) dainų pavyzdžiai. Analizuojamos ryškiausios laikmečio asmenybės bei dainoje įprasmintos svarbiausios vertybės, idealai ir idėjos.</w:t>
            </w:r>
          </w:p>
        </w:tc>
      </w:tr>
      <w:tr w:rsidR="00025ECA" w:rsidRPr="006F7986" w14:paraId="36EC0A32" w14:textId="77777777" w:rsidTr="00F25AE7">
        <w:trPr>
          <w:trHeight w:val="1132"/>
        </w:trPr>
        <w:tc>
          <w:tcPr>
            <w:tcW w:w="1702" w:type="dxa"/>
            <w:vMerge/>
            <w:tcBorders>
              <w:left w:val="single" w:sz="6" w:space="0" w:color="909090"/>
              <w:right w:val="single" w:sz="6" w:space="0" w:color="909090"/>
            </w:tcBorders>
            <w:shd w:val="clear" w:color="auto" w:fill="auto"/>
            <w:vAlign w:val="center"/>
          </w:tcPr>
          <w:p w14:paraId="31F94BDD" w14:textId="77777777" w:rsidR="00025ECA" w:rsidRPr="006F53F4" w:rsidRDefault="00025ECA"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43E022E5" w14:textId="69FE9B4A"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Populiari klasika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08A77B38" w14:textId="3830FEAC" w:rsidR="00025ECA" w:rsidRPr="006F53F4" w:rsidRDefault="00F25AE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w:t>
            </w:r>
            <w:r w:rsidR="00025ECA"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4</w:t>
            </w:r>
            <w:r w:rsidR="00025ECA"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1C2EC686"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4982B87A" w14:textId="67DBAF33"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Atliekami ir analizuojami originalūs ir (ar) aranžuoti klasikinių kūrinių fragmentai, populiariosios klasikos pavyzdžiai.</w:t>
            </w:r>
          </w:p>
        </w:tc>
      </w:tr>
      <w:tr w:rsidR="00025ECA" w:rsidRPr="006F7986" w14:paraId="4AC5674E" w14:textId="77777777" w:rsidTr="00F25AE7">
        <w:trPr>
          <w:trHeight w:val="1816"/>
        </w:trPr>
        <w:tc>
          <w:tcPr>
            <w:tcW w:w="1702" w:type="dxa"/>
            <w:vMerge/>
            <w:tcBorders>
              <w:left w:val="single" w:sz="6" w:space="0" w:color="909090"/>
              <w:bottom w:val="nil"/>
              <w:right w:val="single" w:sz="6" w:space="0" w:color="909090"/>
            </w:tcBorders>
            <w:shd w:val="clear" w:color="auto" w:fill="auto"/>
            <w:vAlign w:val="center"/>
          </w:tcPr>
          <w:p w14:paraId="184FECE5" w14:textId="77777777" w:rsidR="00025ECA" w:rsidRPr="006F53F4" w:rsidRDefault="00025ECA"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4D3FC0AB" w14:textId="52020465"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Instrumentinė muzika ir ansambliai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21CF31CC" w14:textId="77777777"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24B61223" w14:textId="77777777" w:rsidR="00025ECA" w:rsidRPr="006F53F4" w:rsidRDefault="00025ECA"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77E296F0" w14:textId="48E8276D" w:rsidR="00025ECA" w:rsidRPr="006F53F4" w:rsidRDefault="005B16F8"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Nagrinėjami ir atliekami įvairių stilių ir sudėties instrumentinės muzikos ir ansamblių pavyzdžiai. Demonstruojami ir aptariami žymiausi įvairūs pavyzdžiai (M. </w:t>
            </w:r>
            <w:proofErr w:type="spellStart"/>
            <w:r w:rsidRPr="00F25AE7">
              <w:rPr>
                <w:rStyle w:val="normaltextrun"/>
                <w:rFonts w:ascii="Times New Roman" w:eastAsia="Times New Roman" w:hAnsi="Times New Roman" w:cs="Times New Roman"/>
                <w:sz w:val="24"/>
                <w:szCs w:val="24"/>
                <w:lang w:eastAsia="lt-LT"/>
              </w:rPr>
              <w:t>Praetoriuso</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Viva</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la</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Musica</w:t>
            </w:r>
            <w:proofErr w:type="spellEnd"/>
            <w:r w:rsidRPr="00F25AE7">
              <w:rPr>
                <w:rStyle w:val="normaltextrun"/>
                <w:rFonts w:ascii="Times New Roman" w:eastAsia="Times New Roman" w:hAnsi="Times New Roman" w:cs="Times New Roman"/>
                <w:sz w:val="24"/>
                <w:szCs w:val="24"/>
                <w:lang w:eastAsia="lt-LT"/>
              </w:rPr>
              <w:t>“), pristatomi jų kūrėjai. </w:t>
            </w:r>
          </w:p>
        </w:tc>
      </w:tr>
      <w:tr w:rsidR="00025ECA" w:rsidRPr="006F7986" w14:paraId="7A99E4E1" w14:textId="77777777" w:rsidTr="00F25AE7">
        <w:trPr>
          <w:trHeight w:val="1558"/>
        </w:trPr>
        <w:tc>
          <w:tcPr>
            <w:tcW w:w="1702" w:type="dxa"/>
            <w:vMerge w:val="restart"/>
            <w:tcBorders>
              <w:top w:val="single" w:sz="6" w:space="0" w:color="909090"/>
              <w:left w:val="single" w:sz="6" w:space="0" w:color="909090"/>
              <w:right w:val="single" w:sz="6" w:space="0" w:color="909090"/>
            </w:tcBorders>
            <w:shd w:val="clear" w:color="auto" w:fill="auto"/>
            <w:hideMark/>
          </w:tcPr>
          <w:p w14:paraId="1218E764"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Muzikos kūryba (improvizavimas, komponavimas, aranžavimas)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6071A8D0" w14:textId="465BFB09"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Modernios ir postmodernios muzikos komponavimo būdai ir technikos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03662A54" w14:textId="2E69D3A0" w:rsidR="00025ECA" w:rsidRPr="006F53F4" w:rsidRDefault="00F25AE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00025ECA"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00025ECA"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0172882D"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21DEC78B" w14:textId="3E149C53"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Susipažįstama su modernios ir postmodernios muzikos komponavimo būdais ir technikomis (pvz., kombinatorika ir serija; </w:t>
            </w:r>
            <w:proofErr w:type="spellStart"/>
            <w:r w:rsidRPr="00F25AE7">
              <w:rPr>
                <w:rStyle w:val="normaltextrun"/>
                <w:rFonts w:ascii="Times New Roman" w:eastAsia="Times New Roman" w:hAnsi="Times New Roman" w:cs="Times New Roman"/>
                <w:sz w:val="24"/>
                <w:szCs w:val="24"/>
                <w:lang w:eastAsia="lt-LT"/>
              </w:rPr>
              <w:t>sonoristika</w:t>
            </w:r>
            <w:proofErr w:type="spellEnd"/>
            <w:r w:rsidRPr="00F25AE7">
              <w:rPr>
                <w:rStyle w:val="normaltextrun"/>
                <w:rFonts w:ascii="Times New Roman" w:eastAsia="Times New Roman" w:hAnsi="Times New Roman" w:cs="Times New Roman"/>
                <w:sz w:val="24"/>
                <w:szCs w:val="24"/>
                <w:lang w:eastAsia="lt-LT"/>
              </w:rPr>
              <w:t>; intuityvi kompozicija, minimalistinė repeticija). </w:t>
            </w:r>
          </w:p>
        </w:tc>
      </w:tr>
      <w:tr w:rsidR="00025ECA" w:rsidRPr="006F7986" w14:paraId="068E08E0" w14:textId="77777777" w:rsidTr="00F25AE7">
        <w:trPr>
          <w:trHeight w:val="2531"/>
        </w:trPr>
        <w:tc>
          <w:tcPr>
            <w:tcW w:w="1702" w:type="dxa"/>
            <w:vMerge/>
            <w:tcBorders>
              <w:left w:val="single" w:sz="6" w:space="0" w:color="909090"/>
              <w:right w:val="single" w:sz="6" w:space="0" w:color="909090"/>
            </w:tcBorders>
            <w:shd w:val="clear" w:color="auto" w:fill="auto"/>
            <w:vAlign w:val="center"/>
            <w:hideMark/>
          </w:tcPr>
          <w:p w14:paraId="7CEE78B8" w14:textId="77777777" w:rsidR="00025ECA" w:rsidRPr="006F53F4" w:rsidRDefault="00025ECA"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639A1F81" w14:textId="34A63DA7"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Meninė idėja</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2AB79106" w14:textId="323238B6" w:rsidR="00025ECA" w:rsidRPr="006F53F4" w:rsidRDefault="00F25AE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7</w:t>
            </w:r>
            <w:r w:rsidR="00025ECA"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8</w:t>
            </w:r>
            <w:r w:rsidR="00025ECA"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5F436201"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37139D80" w14:textId="7BA23A9F"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Individualiai arba bendradarbiaujant palyginama ir įvertinama įvairių stilių ir kultūrų, pasirinktų žymiausių kompozitorių ir atlikėjų muzika, skirtingas jos interpretacijas. Pritaikydami muzikines žinias mokomasi generuoti meninę idėją ir ją įgyvendinti įvairiais būdais ir (ar) technikomis. Numatoma kūrybinio proceso eiga.  </w:t>
            </w:r>
          </w:p>
        </w:tc>
      </w:tr>
      <w:tr w:rsidR="00025ECA" w:rsidRPr="006F7986" w14:paraId="2548ED60" w14:textId="77777777" w:rsidTr="00F25AE7">
        <w:trPr>
          <w:trHeight w:val="2120"/>
        </w:trPr>
        <w:tc>
          <w:tcPr>
            <w:tcW w:w="1702" w:type="dxa"/>
            <w:vMerge w:val="restart"/>
            <w:tcBorders>
              <w:top w:val="single" w:sz="6" w:space="0" w:color="909090"/>
              <w:left w:val="single" w:sz="6" w:space="0" w:color="909090"/>
              <w:right w:val="single" w:sz="6" w:space="0" w:color="909090"/>
            </w:tcBorders>
            <w:shd w:val="clear" w:color="auto" w:fill="auto"/>
            <w:hideMark/>
          </w:tcPr>
          <w:p w14:paraId="33861E3C"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Muzikos pažinimas ir vertinimas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3B42A4FC" w14:textId="2ECDBEF3"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Muziką kaip garsinės raiškos forma</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06C03270" w14:textId="77777777"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992" w:type="dxa"/>
            <w:tcBorders>
              <w:top w:val="single" w:sz="6" w:space="0" w:color="909090"/>
              <w:left w:val="single" w:sz="6" w:space="0" w:color="909090"/>
              <w:bottom w:val="single" w:sz="6" w:space="0" w:color="909090"/>
              <w:right w:val="single" w:sz="6" w:space="0" w:color="909090"/>
            </w:tcBorders>
          </w:tcPr>
          <w:p w14:paraId="165BB2D4"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56E83513" w14:textId="758CF6CE"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Mokomasi analizuoti muziką kaip garsinės raiškos formą, paremtą įvairiomis muzikinėmis struktūromis. Pristatomos, nagrinėjamos ir palyginamos pagrindinės išraiškos priemonės bei mokomasi jas suprasti. Apibrėžiamas ir paaiškinamas pasaulio kultūrų poveikis muzikos įvairovei ir jos vertei. </w:t>
            </w:r>
          </w:p>
        </w:tc>
      </w:tr>
      <w:tr w:rsidR="00025ECA" w:rsidRPr="006F7986" w14:paraId="3015D290" w14:textId="77777777" w:rsidTr="00F25AE7">
        <w:trPr>
          <w:trHeight w:val="2107"/>
        </w:trPr>
        <w:tc>
          <w:tcPr>
            <w:tcW w:w="1702" w:type="dxa"/>
            <w:vMerge/>
            <w:tcBorders>
              <w:left w:val="single" w:sz="6" w:space="0" w:color="909090"/>
              <w:right w:val="single" w:sz="6" w:space="0" w:color="909090"/>
            </w:tcBorders>
            <w:shd w:val="clear" w:color="auto" w:fill="auto"/>
          </w:tcPr>
          <w:p w14:paraId="79C73CAF"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6B700A58" w14:textId="6F9376C0"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Akordai ir jų sekos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4449CD13" w14:textId="6D0D0F8C" w:rsidR="00025ECA" w:rsidRPr="006F53F4" w:rsidRDefault="00F25AE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p>
        </w:tc>
        <w:tc>
          <w:tcPr>
            <w:tcW w:w="992" w:type="dxa"/>
            <w:tcBorders>
              <w:top w:val="single" w:sz="6" w:space="0" w:color="909090"/>
              <w:left w:val="single" w:sz="6" w:space="0" w:color="909090"/>
              <w:bottom w:val="single" w:sz="6" w:space="0" w:color="909090"/>
              <w:right w:val="single" w:sz="6" w:space="0" w:color="909090"/>
            </w:tcBorders>
          </w:tcPr>
          <w:p w14:paraId="5E4D3C86"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5417CCBA" w14:textId="3416BD36"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Analizuojami muzikos akordai ir jų sekos dažniausiai naudojami dainos pritarimui (ritmo instrumentais, ukulele ar gitara, klaviatūra, kt.; būdingos akordų sekos (pvz., Dm-G7-C). Pristatomos ir aptariamos pažangių technologijų ir inovacijų galimybės muzikos pažinimo srityje. </w:t>
            </w:r>
          </w:p>
        </w:tc>
      </w:tr>
      <w:tr w:rsidR="00025ECA" w:rsidRPr="006F7986" w14:paraId="61D2A9A1" w14:textId="77777777" w:rsidTr="00F25AE7">
        <w:trPr>
          <w:trHeight w:val="1272"/>
        </w:trPr>
        <w:tc>
          <w:tcPr>
            <w:tcW w:w="1702" w:type="dxa"/>
            <w:vMerge/>
            <w:tcBorders>
              <w:left w:val="single" w:sz="6" w:space="0" w:color="909090"/>
              <w:bottom w:val="nil"/>
              <w:right w:val="single" w:sz="6" w:space="0" w:color="909090"/>
            </w:tcBorders>
            <w:shd w:val="clear" w:color="auto" w:fill="auto"/>
          </w:tcPr>
          <w:p w14:paraId="503BB3BB"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1D6AE979" w14:textId="79D7E59A"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Muzikos kūrinių savybės ir meninis įspūdis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298B86F3" w14:textId="77777777"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68C4D065"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17BB4C4" w14:textId="0134722F"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Analizuojamos įvairių žanrų, stilių muzikos kūrinių savybės ir meninis įspūdis. Jis interpretuojamas pagal objektyvius ir subjektyvius kriterijus. </w:t>
            </w:r>
          </w:p>
        </w:tc>
      </w:tr>
      <w:tr w:rsidR="00025ECA" w:rsidRPr="006F7986" w14:paraId="79526844" w14:textId="77777777" w:rsidTr="00F25AE7">
        <w:trPr>
          <w:trHeight w:val="1544"/>
        </w:trPr>
        <w:tc>
          <w:tcPr>
            <w:tcW w:w="1702" w:type="dxa"/>
            <w:tcBorders>
              <w:left w:val="single" w:sz="6" w:space="0" w:color="909090"/>
              <w:bottom w:val="nil"/>
              <w:right w:val="single" w:sz="6" w:space="0" w:color="909090"/>
            </w:tcBorders>
            <w:shd w:val="clear" w:color="auto" w:fill="auto"/>
          </w:tcPr>
          <w:p w14:paraId="69C26AF0"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628D7724" w14:textId="2FD8025A"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Žymiausių kompozitorių ir atlikėjų muzika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682086E1" w14:textId="77777777"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42E347AB"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24415479" w14:textId="021FB36A"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Įvertinama ir palyginama įvairių stilių, ir kultūrų, pasirinktų žymiausių kompozitorių ir atlikėjų muziką, </w:t>
            </w:r>
            <w:proofErr w:type="spellStart"/>
            <w:r w:rsidRPr="00F25AE7">
              <w:rPr>
                <w:rStyle w:val="normaltextrun"/>
                <w:rFonts w:ascii="Times New Roman" w:eastAsia="Times New Roman" w:hAnsi="Times New Roman" w:cs="Times New Roman"/>
                <w:sz w:val="24"/>
                <w:szCs w:val="24"/>
                <w:lang w:eastAsia="lt-LT"/>
              </w:rPr>
              <w:t>skirtingosas</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interpretacijosas</w:t>
            </w:r>
            <w:proofErr w:type="spellEnd"/>
            <w:r w:rsidRPr="00F25AE7">
              <w:rPr>
                <w:rStyle w:val="normaltextrun"/>
                <w:rFonts w:ascii="Times New Roman" w:eastAsia="Times New Roman" w:hAnsi="Times New Roman" w:cs="Times New Roman"/>
                <w:sz w:val="24"/>
                <w:szCs w:val="24"/>
                <w:lang w:eastAsia="lt-LT"/>
              </w:rPr>
              <w:t xml:space="preserve">, komentuojamos </w:t>
            </w:r>
            <w:proofErr w:type="spellStart"/>
            <w:r w:rsidRPr="00F25AE7">
              <w:rPr>
                <w:rStyle w:val="normaltextrun"/>
                <w:rFonts w:ascii="Times New Roman" w:eastAsia="Times New Roman" w:hAnsi="Times New Roman" w:cs="Times New Roman"/>
                <w:sz w:val="24"/>
                <w:szCs w:val="24"/>
                <w:lang w:eastAsia="lt-LT"/>
              </w:rPr>
              <w:t>sąsajosas</w:t>
            </w:r>
            <w:proofErr w:type="spellEnd"/>
            <w:r w:rsidRPr="00F25AE7">
              <w:rPr>
                <w:rStyle w:val="normaltextrun"/>
                <w:rFonts w:ascii="Times New Roman" w:eastAsia="Times New Roman" w:hAnsi="Times New Roman" w:cs="Times New Roman"/>
                <w:sz w:val="24"/>
                <w:szCs w:val="24"/>
                <w:lang w:eastAsia="lt-LT"/>
              </w:rPr>
              <w:t xml:space="preserve"> su kitais menais ir dalykais. </w:t>
            </w:r>
          </w:p>
        </w:tc>
      </w:tr>
      <w:tr w:rsidR="00025ECA" w:rsidRPr="006F7986" w14:paraId="3EE938E4" w14:textId="77777777" w:rsidTr="00F25AE7">
        <w:trPr>
          <w:trHeight w:val="2660"/>
        </w:trPr>
        <w:tc>
          <w:tcPr>
            <w:tcW w:w="1702" w:type="dxa"/>
            <w:vMerge w:val="restart"/>
            <w:tcBorders>
              <w:top w:val="single" w:sz="6" w:space="0" w:color="909090"/>
              <w:left w:val="single" w:sz="6" w:space="0" w:color="909090"/>
              <w:right w:val="single" w:sz="6" w:space="0" w:color="909090"/>
            </w:tcBorders>
            <w:shd w:val="clear" w:color="auto" w:fill="auto"/>
            <w:hideMark/>
          </w:tcPr>
          <w:p w14:paraId="548EFC4F"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Muzikinės kultūros kontekstai ir jungtys.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0C7235F3" w14:textId="7AAB8A23"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Muzika mūsų gyvenime</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148C5730" w14:textId="77777777"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992" w:type="dxa"/>
            <w:tcBorders>
              <w:top w:val="single" w:sz="6" w:space="0" w:color="909090"/>
              <w:left w:val="single" w:sz="6" w:space="0" w:color="909090"/>
              <w:bottom w:val="single" w:sz="6" w:space="0" w:color="909090"/>
              <w:right w:val="single" w:sz="6" w:space="0" w:color="909090"/>
            </w:tcBorders>
          </w:tcPr>
          <w:p w14:paraId="66F990D8"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0F36A875" w14:textId="4E5D5988"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Nagrinėjamos žymiausios Lietuvos ir pasaulio koncertų, spektaklių scenos, virtualūs </w:t>
            </w:r>
            <w:proofErr w:type="spellStart"/>
            <w:r w:rsidRPr="00F25AE7">
              <w:rPr>
                <w:rStyle w:val="normaltextrun"/>
                <w:rFonts w:ascii="Times New Roman" w:eastAsia="Times New Roman" w:hAnsi="Times New Roman" w:cs="Times New Roman"/>
                <w:sz w:val="24"/>
                <w:szCs w:val="24"/>
                <w:lang w:eastAsia="lt-LT"/>
              </w:rPr>
              <w:t>audio</w:t>
            </w:r>
            <w:proofErr w:type="spellEnd"/>
            <w:r w:rsidRPr="00F25AE7">
              <w:rPr>
                <w:rStyle w:val="normaltextrun"/>
                <w:rFonts w:ascii="Times New Roman" w:eastAsia="Times New Roman" w:hAnsi="Times New Roman" w:cs="Times New Roman"/>
                <w:sz w:val="24"/>
                <w:szCs w:val="24"/>
                <w:lang w:eastAsia="lt-LT"/>
              </w:rPr>
              <w:t xml:space="preserve"> gidai, </w:t>
            </w:r>
            <w:proofErr w:type="spellStart"/>
            <w:r w:rsidRPr="00F25AE7">
              <w:rPr>
                <w:rStyle w:val="normaltextrun"/>
                <w:rFonts w:ascii="Times New Roman" w:eastAsia="Times New Roman" w:hAnsi="Times New Roman" w:cs="Times New Roman"/>
                <w:sz w:val="24"/>
                <w:szCs w:val="24"/>
                <w:lang w:eastAsia="lt-LT"/>
              </w:rPr>
              <w:t>audio</w:t>
            </w:r>
            <w:proofErr w:type="spellEnd"/>
            <w:r w:rsidRPr="00F25AE7">
              <w:rPr>
                <w:rStyle w:val="normaltextrun"/>
                <w:rFonts w:ascii="Times New Roman" w:eastAsia="Times New Roman" w:hAnsi="Times New Roman" w:cs="Times New Roman"/>
                <w:sz w:val="24"/>
                <w:szCs w:val="24"/>
                <w:lang w:eastAsia="lt-LT"/>
              </w:rPr>
              <w:t xml:space="preserve"> ekskursijos, virtualių koncertų platformos. Pristatoma ir analizuojama Lietuvos integrali muziejų informacinė sistema (LIMIS), leidžianti susipažinti su meno parodomis ar atskirais meno objektais (Nacionalinis M. K. Čiurlionio dailės muziejus). </w:t>
            </w:r>
          </w:p>
        </w:tc>
      </w:tr>
      <w:tr w:rsidR="00025ECA" w:rsidRPr="006F7986" w14:paraId="053E84E7" w14:textId="77777777" w:rsidTr="00F25AE7">
        <w:trPr>
          <w:trHeight w:val="1691"/>
        </w:trPr>
        <w:tc>
          <w:tcPr>
            <w:tcW w:w="1702" w:type="dxa"/>
            <w:vMerge/>
            <w:tcBorders>
              <w:left w:val="single" w:sz="6" w:space="0" w:color="909090"/>
              <w:right w:val="single" w:sz="6" w:space="0" w:color="909090"/>
            </w:tcBorders>
            <w:shd w:val="clear" w:color="auto" w:fill="auto"/>
            <w:vAlign w:val="center"/>
            <w:hideMark/>
          </w:tcPr>
          <w:p w14:paraId="14385900" w14:textId="77777777" w:rsidR="00025ECA" w:rsidRPr="006F53F4" w:rsidRDefault="00025ECA"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50BB0421" w14:textId="74C3E707"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Muzika ir psichologinė savireguliacija</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319A497F" w14:textId="7495DDCC"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992" w:type="dxa"/>
            <w:tcBorders>
              <w:top w:val="single" w:sz="6" w:space="0" w:color="909090"/>
              <w:left w:val="single" w:sz="6" w:space="0" w:color="909090"/>
              <w:bottom w:val="single" w:sz="6" w:space="0" w:color="909090"/>
              <w:right w:val="single" w:sz="6" w:space="0" w:color="909090"/>
            </w:tcBorders>
          </w:tcPr>
          <w:p w14:paraId="07024902"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7DB78A38" w14:textId="5156D254"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Analizuojama kokią įtaka gali daryti muzika psichikai. Aptariami natūralūs savireguliacijos būdai (mano muzikinio grojaraščio temos: muzika ir meditacija; muzika vietoje kavos; muzika ir judesys). </w:t>
            </w:r>
          </w:p>
        </w:tc>
      </w:tr>
      <w:tr w:rsidR="00025ECA" w:rsidRPr="006F7986" w14:paraId="2799AB6D" w14:textId="77777777" w:rsidTr="00C36E06">
        <w:trPr>
          <w:trHeight w:val="1826"/>
        </w:trPr>
        <w:tc>
          <w:tcPr>
            <w:tcW w:w="1702" w:type="dxa"/>
            <w:vMerge/>
            <w:tcBorders>
              <w:left w:val="single" w:sz="6" w:space="0" w:color="909090"/>
              <w:right w:val="single" w:sz="6" w:space="0" w:color="909090"/>
            </w:tcBorders>
            <w:shd w:val="clear" w:color="auto" w:fill="auto"/>
            <w:vAlign w:val="center"/>
          </w:tcPr>
          <w:p w14:paraId="4A7D3D73" w14:textId="77777777" w:rsidR="00025ECA" w:rsidRPr="006F53F4" w:rsidRDefault="00025ECA"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41AB5312" w14:textId="76AEA96A"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Lietuvių folkloras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649EC1C3" w14:textId="6545D0C8"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992" w:type="dxa"/>
            <w:tcBorders>
              <w:top w:val="single" w:sz="6" w:space="0" w:color="909090"/>
              <w:left w:val="single" w:sz="6" w:space="0" w:color="909090"/>
              <w:bottom w:val="single" w:sz="6" w:space="0" w:color="909090"/>
              <w:right w:val="single" w:sz="6" w:space="0" w:color="909090"/>
            </w:tcBorders>
          </w:tcPr>
          <w:p w14:paraId="397C4915"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700C6C0A" w14:textId="214269A8"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Analizuojama lietuvių muzikinio folkloro žanrinė ir funkcinė įvairovė; regionų ypatumai (Dzūkija, Aukštaitija, Suvalkija, Žemaitija, Mažoji Lietuva). Lietuvoje formavęsi specifiniai atskirų etnografinių regionų kultūriniai ypatumai, radę atgarsį to meto muzikos kūrėjų darbuose. </w:t>
            </w:r>
          </w:p>
        </w:tc>
      </w:tr>
      <w:tr w:rsidR="00025ECA" w:rsidRPr="006F7986" w14:paraId="45E1DE51" w14:textId="77777777" w:rsidTr="00F25AE7">
        <w:trPr>
          <w:trHeight w:val="2403"/>
        </w:trPr>
        <w:tc>
          <w:tcPr>
            <w:tcW w:w="1702" w:type="dxa"/>
            <w:vMerge/>
            <w:tcBorders>
              <w:left w:val="single" w:sz="6" w:space="0" w:color="909090"/>
              <w:right w:val="single" w:sz="6" w:space="0" w:color="909090"/>
            </w:tcBorders>
            <w:shd w:val="clear" w:color="auto" w:fill="auto"/>
            <w:vAlign w:val="center"/>
          </w:tcPr>
          <w:p w14:paraId="4D524EBC" w14:textId="77777777" w:rsidR="00025ECA" w:rsidRPr="006F53F4" w:rsidRDefault="00025ECA"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69A36FD7" w14:textId="7DE16409"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Folkloro atspindžiai XX amžiaus muzikoje</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E067A60" w14:textId="15682630"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992" w:type="dxa"/>
            <w:tcBorders>
              <w:top w:val="single" w:sz="6" w:space="0" w:color="909090"/>
              <w:left w:val="single" w:sz="6" w:space="0" w:color="909090"/>
              <w:bottom w:val="single" w:sz="6" w:space="0" w:color="909090"/>
              <w:right w:val="single" w:sz="6" w:space="0" w:color="909090"/>
            </w:tcBorders>
          </w:tcPr>
          <w:p w14:paraId="1991849A"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7E98C59C" w14:textId="08258756"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Analizuojami būdingiausi bruožai, susiformavimo priežastys, nagrinėjami ir aptariami pagrindiniai šio laikotarpio ypatumai, aptariami žymiausi muzikos kūrėjai ir jų darbai (pvz., J. Juzeliūnas, I. </w:t>
            </w:r>
            <w:proofErr w:type="spellStart"/>
            <w:r w:rsidRPr="00F25AE7">
              <w:rPr>
                <w:rStyle w:val="normaltextrun"/>
                <w:rFonts w:ascii="Times New Roman" w:eastAsia="Times New Roman" w:hAnsi="Times New Roman" w:cs="Times New Roman"/>
                <w:sz w:val="24"/>
                <w:szCs w:val="24"/>
                <w:lang w:eastAsia="lt-LT"/>
              </w:rPr>
              <w:t>Stravinskis</w:t>
            </w:r>
            <w:proofErr w:type="spellEnd"/>
            <w:r w:rsidRPr="00F25AE7">
              <w:rPr>
                <w:rStyle w:val="normaltextrun"/>
                <w:rFonts w:ascii="Times New Roman" w:eastAsia="Times New Roman" w:hAnsi="Times New Roman" w:cs="Times New Roman"/>
                <w:sz w:val="24"/>
                <w:szCs w:val="24"/>
                <w:lang w:eastAsia="lt-LT"/>
              </w:rPr>
              <w:t xml:space="preserve">, B. </w:t>
            </w:r>
            <w:proofErr w:type="spellStart"/>
            <w:r w:rsidRPr="00F25AE7">
              <w:rPr>
                <w:rStyle w:val="normaltextrun"/>
                <w:rFonts w:ascii="Times New Roman" w:eastAsia="Times New Roman" w:hAnsi="Times New Roman" w:cs="Times New Roman"/>
                <w:sz w:val="24"/>
                <w:szCs w:val="24"/>
                <w:lang w:eastAsia="lt-LT"/>
              </w:rPr>
              <w:t>Bartokas</w:t>
            </w:r>
            <w:proofErr w:type="spellEnd"/>
            <w:r w:rsidRPr="00F25AE7">
              <w:rPr>
                <w:rStyle w:val="normaltextrun"/>
                <w:rFonts w:ascii="Times New Roman" w:eastAsia="Times New Roman" w:hAnsi="Times New Roman" w:cs="Times New Roman"/>
                <w:sz w:val="24"/>
                <w:szCs w:val="24"/>
                <w:lang w:eastAsia="lt-LT"/>
              </w:rPr>
              <w:t>). Apibūdinamas ir interpretuojamas visuomenės ryšys su dabarties pilietinės visuomenės savikūra.</w:t>
            </w:r>
          </w:p>
        </w:tc>
      </w:tr>
      <w:tr w:rsidR="00025ECA" w:rsidRPr="006F7986" w14:paraId="3FB4AE83" w14:textId="77777777" w:rsidTr="00F25AE7">
        <w:trPr>
          <w:trHeight w:val="2394"/>
        </w:trPr>
        <w:tc>
          <w:tcPr>
            <w:tcW w:w="1702" w:type="dxa"/>
            <w:vMerge/>
            <w:tcBorders>
              <w:left w:val="single" w:sz="6" w:space="0" w:color="909090"/>
              <w:right w:val="single" w:sz="6" w:space="0" w:color="909090"/>
            </w:tcBorders>
            <w:shd w:val="clear" w:color="auto" w:fill="auto"/>
            <w:vAlign w:val="center"/>
          </w:tcPr>
          <w:p w14:paraId="051AB1F4" w14:textId="77777777" w:rsidR="00025ECA" w:rsidRPr="006F53F4" w:rsidRDefault="00025ECA"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6C29A006" w14:textId="07CB362B"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Moterys kompozitorės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13ED03D6" w14:textId="71BC70B0"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992" w:type="dxa"/>
            <w:tcBorders>
              <w:top w:val="single" w:sz="6" w:space="0" w:color="909090"/>
              <w:left w:val="single" w:sz="6" w:space="0" w:color="909090"/>
              <w:bottom w:val="single" w:sz="6" w:space="0" w:color="909090"/>
              <w:right w:val="single" w:sz="6" w:space="0" w:color="909090"/>
            </w:tcBorders>
          </w:tcPr>
          <w:p w14:paraId="06B8F3C0"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006BB969" w14:textId="6BB757FC" w:rsidR="00025ECA" w:rsidRPr="006F53F4" w:rsidRDefault="005B16F8"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Aptariama ir nagrinėjama lyčių lygybės, lygių galimybių tema. Analizuojamos ryškiausios asmenybės bei muzikos kūriniuose įprasmintos svarbiausios vertybės, idealai ir idėjos (pvz., </w:t>
            </w:r>
            <w:proofErr w:type="spellStart"/>
            <w:r w:rsidRPr="00F25AE7">
              <w:rPr>
                <w:rStyle w:val="normaltextrun"/>
                <w:rFonts w:ascii="Times New Roman" w:eastAsia="Times New Roman" w:hAnsi="Times New Roman" w:cs="Times New Roman"/>
                <w:sz w:val="24"/>
                <w:szCs w:val="24"/>
                <w:lang w:eastAsia="lt-LT"/>
              </w:rPr>
              <w:t>Sapfo</w:t>
            </w:r>
            <w:proofErr w:type="spellEnd"/>
            <w:r w:rsidRPr="00F25AE7">
              <w:rPr>
                <w:rStyle w:val="normaltextrun"/>
                <w:rFonts w:ascii="Times New Roman" w:eastAsia="Times New Roman" w:hAnsi="Times New Roman" w:cs="Times New Roman"/>
                <w:sz w:val="24"/>
                <w:szCs w:val="24"/>
                <w:lang w:eastAsia="lt-LT"/>
              </w:rPr>
              <w:t xml:space="preserve">, Hildegarda von </w:t>
            </w:r>
            <w:proofErr w:type="spellStart"/>
            <w:r w:rsidRPr="00F25AE7">
              <w:rPr>
                <w:rStyle w:val="normaltextrun"/>
                <w:rFonts w:ascii="Times New Roman" w:eastAsia="Times New Roman" w:hAnsi="Times New Roman" w:cs="Times New Roman"/>
                <w:sz w:val="24"/>
                <w:szCs w:val="24"/>
                <w:lang w:eastAsia="lt-LT"/>
              </w:rPr>
              <w:t>Bingen</w:t>
            </w:r>
            <w:proofErr w:type="spellEnd"/>
            <w:r w:rsidRPr="00F25AE7">
              <w:rPr>
                <w:rStyle w:val="normaltextrun"/>
                <w:rFonts w:ascii="Times New Roman" w:eastAsia="Times New Roman" w:hAnsi="Times New Roman" w:cs="Times New Roman"/>
                <w:sz w:val="24"/>
                <w:szCs w:val="24"/>
                <w:lang w:eastAsia="lt-LT"/>
              </w:rPr>
              <w:t xml:space="preserve">, Mira </w:t>
            </w:r>
            <w:proofErr w:type="spellStart"/>
            <w:r w:rsidRPr="00F25AE7">
              <w:rPr>
                <w:rStyle w:val="normaltextrun"/>
                <w:rFonts w:ascii="Times New Roman" w:eastAsia="Times New Roman" w:hAnsi="Times New Roman" w:cs="Times New Roman"/>
                <w:sz w:val="24"/>
                <w:szCs w:val="24"/>
                <w:lang w:eastAsia="lt-LT"/>
              </w:rPr>
              <w:t>Bai</w:t>
            </w:r>
            <w:proofErr w:type="spellEnd"/>
            <w:r w:rsidRPr="00F25AE7">
              <w:rPr>
                <w:rStyle w:val="normaltextrun"/>
                <w:rFonts w:ascii="Times New Roman" w:eastAsia="Times New Roman" w:hAnsi="Times New Roman" w:cs="Times New Roman"/>
                <w:sz w:val="24"/>
                <w:szCs w:val="24"/>
                <w:lang w:eastAsia="lt-LT"/>
              </w:rPr>
              <w:t xml:space="preserve">, G. </w:t>
            </w:r>
            <w:proofErr w:type="spellStart"/>
            <w:r w:rsidRPr="00F25AE7">
              <w:rPr>
                <w:rStyle w:val="normaltextrun"/>
                <w:rFonts w:ascii="Times New Roman" w:eastAsia="Times New Roman" w:hAnsi="Times New Roman" w:cs="Times New Roman"/>
                <w:sz w:val="24"/>
                <w:szCs w:val="24"/>
                <w:lang w:eastAsia="lt-LT"/>
              </w:rPr>
              <w:t>Baciewicz</w:t>
            </w:r>
            <w:proofErr w:type="spellEnd"/>
            <w:r w:rsidRPr="00F25AE7">
              <w:rPr>
                <w:rStyle w:val="normaltextrun"/>
                <w:rFonts w:ascii="Times New Roman" w:eastAsia="Times New Roman" w:hAnsi="Times New Roman" w:cs="Times New Roman"/>
                <w:sz w:val="24"/>
                <w:szCs w:val="24"/>
                <w:lang w:eastAsia="lt-LT"/>
              </w:rPr>
              <w:t xml:space="preserve">); lietuvių moterys kompozitorės (pvz., K. </w:t>
            </w:r>
            <w:proofErr w:type="spellStart"/>
            <w:r w:rsidRPr="00F25AE7">
              <w:rPr>
                <w:rStyle w:val="normaltextrun"/>
                <w:rFonts w:ascii="Times New Roman" w:eastAsia="Times New Roman" w:hAnsi="Times New Roman" w:cs="Times New Roman"/>
                <w:sz w:val="24"/>
                <w:szCs w:val="24"/>
                <w:lang w:eastAsia="lt-LT"/>
              </w:rPr>
              <w:t>Brunzaitė</w:t>
            </w:r>
            <w:proofErr w:type="spellEnd"/>
            <w:r w:rsidRPr="00F25AE7">
              <w:rPr>
                <w:rStyle w:val="normaltextrun"/>
                <w:rFonts w:ascii="Times New Roman" w:eastAsia="Times New Roman" w:hAnsi="Times New Roman" w:cs="Times New Roman"/>
                <w:sz w:val="24"/>
                <w:szCs w:val="24"/>
                <w:lang w:eastAsia="lt-LT"/>
              </w:rPr>
              <w:t xml:space="preserve">, O. </w:t>
            </w:r>
            <w:proofErr w:type="spellStart"/>
            <w:r w:rsidRPr="00F25AE7">
              <w:rPr>
                <w:rStyle w:val="normaltextrun"/>
                <w:rFonts w:ascii="Times New Roman" w:eastAsia="Times New Roman" w:hAnsi="Times New Roman" w:cs="Times New Roman"/>
                <w:sz w:val="24"/>
                <w:szCs w:val="24"/>
                <w:lang w:eastAsia="lt-LT"/>
              </w:rPr>
              <w:t>Narbutaitė</w:t>
            </w:r>
            <w:proofErr w:type="spellEnd"/>
            <w:r w:rsidRPr="00F25AE7">
              <w:rPr>
                <w:rStyle w:val="normaltextrun"/>
                <w:rFonts w:ascii="Times New Roman" w:eastAsia="Times New Roman" w:hAnsi="Times New Roman" w:cs="Times New Roman"/>
                <w:sz w:val="24"/>
                <w:szCs w:val="24"/>
                <w:lang w:eastAsia="lt-LT"/>
              </w:rPr>
              <w:t>, R. Šerkšnytė). </w:t>
            </w:r>
          </w:p>
        </w:tc>
      </w:tr>
      <w:tr w:rsidR="00025ECA" w:rsidRPr="006F7986" w14:paraId="55199010" w14:textId="77777777" w:rsidTr="00F25AE7">
        <w:trPr>
          <w:trHeight w:val="2116"/>
        </w:trPr>
        <w:tc>
          <w:tcPr>
            <w:tcW w:w="1702" w:type="dxa"/>
            <w:tcBorders>
              <w:left w:val="single" w:sz="6" w:space="0" w:color="909090"/>
              <w:right w:val="single" w:sz="6" w:space="0" w:color="909090"/>
            </w:tcBorders>
            <w:shd w:val="clear" w:color="auto" w:fill="auto"/>
            <w:vAlign w:val="center"/>
          </w:tcPr>
          <w:p w14:paraId="1197A85E" w14:textId="77777777" w:rsidR="00025ECA" w:rsidRPr="006F53F4" w:rsidRDefault="00025ECA"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0222D5C0" w14:textId="3BAB7EE2" w:rsidR="00025ECA" w:rsidRPr="006F53F4" w:rsidRDefault="00F25AE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Vakarų muzikos istorijos eskizai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0D6ED1B0" w14:textId="4858D409"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992" w:type="dxa"/>
            <w:tcBorders>
              <w:top w:val="single" w:sz="6" w:space="0" w:color="909090"/>
              <w:left w:val="single" w:sz="6" w:space="0" w:color="909090"/>
              <w:bottom w:val="single" w:sz="6" w:space="0" w:color="909090"/>
              <w:right w:val="single" w:sz="6" w:space="0" w:color="909090"/>
            </w:tcBorders>
          </w:tcPr>
          <w:p w14:paraId="6F6F037C"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10E5A5E2" w14:textId="4D32C820" w:rsidR="00025ECA" w:rsidRPr="006F53F4" w:rsidRDefault="00F25AE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Aptariami ir apibrėžiami istoriniai tarpsniai, muzikos ypatumų susiformavimo priežastys, stiliai (Viduramžiai, Renesansas, Barokas, Klasicizmas, Romantizmas), ryškiausios asmenybės, komentuojami šiam laikotarpiui būdingi savitumai ir demonstruojami žymiausi meno kūriniai. </w:t>
            </w:r>
          </w:p>
        </w:tc>
      </w:tr>
      <w:tr w:rsidR="00F25AE7" w:rsidRPr="006F7986" w14:paraId="463B7DA4" w14:textId="77777777" w:rsidTr="00F25AE7">
        <w:trPr>
          <w:trHeight w:val="4656"/>
        </w:trPr>
        <w:tc>
          <w:tcPr>
            <w:tcW w:w="1702" w:type="dxa"/>
            <w:tcBorders>
              <w:left w:val="single" w:sz="6" w:space="0" w:color="909090"/>
              <w:right w:val="single" w:sz="6" w:space="0" w:color="909090"/>
            </w:tcBorders>
            <w:shd w:val="clear" w:color="auto" w:fill="auto"/>
            <w:vAlign w:val="center"/>
          </w:tcPr>
          <w:p w14:paraId="7326B85E" w14:textId="77777777" w:rsidR="00F25AE7" w:rsidRPr="006F53F4" w:rsidRDefault="00F25AE7"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2F7BED3A" w14:textId="03097F57" w:rsidR="00F25AE7" w:rsidRPr="00F25AE7" w:rsidRDefault="00F25AE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Šiuolaikinė muzika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4048A64F" w14:textId="12CB310B" w:rsidR="00F25AE7" w:rsidRPr="006F53F4" w:rsidRDefault="00F25AE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3E20EF2E" w14:textId="77777777" w:rsidR="00F25AE7" w:rsidRPr="006F53F4" w:rsidRDefault="00F25AE7"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10848052" w14:textId="726F5968" w:rsidR="00F25AE7" w:rsidRPr="00F25AE7" w:rsidRDefault="00F25AE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Analizuojami, tyrinėjami ir apibendrinami šio laikotarpio muzikos kūrybos ypatumai tiek Lietuvoje, tiek ir pasaulyje. Apžvelgiamos ir reflektuojamos kultūros įvairovės, aplinkos tvarumo, ugdymo karjerai, finansinio raštingumo temos bei jų atspindys XXI pradžios mene, pateikiami ryškiausi populiariosios, elektroninės, alternatyviosios (pvz., </w:t>
            </w:r>
            <w:proofErr w:type="spellStart"/>
            <w:r w:rsidRPr="00F25AE7">
              <w:rPr>
                <w:rStyle w:val="normaltextrun"/>
                <w:rFonts w:ascii="Times New Roman" w:eastAsia="Times New Roman" w:hAnsi="Times New Roman" w:cs="Times New Roman"/>
                <w:sz w:val="24"/>
                <w:szCs w:val="24"/>
                <w:lang w:eastAsia="lt-LT"/>
              </w:rPr>
              <w:t>ambient</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indie</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rock</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free</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jazz</w:t>
            </w:r>
            <w:proofErr w:type="spellEnd"/>
            <w:r w:rsidRPr="00F25AE7">
              <w:rPr>
                <w:rStyle w:val="normaltextrun"/>
                <w:rFonts w:ascii="Times New Roman" w:eastAsia="Times New Roman" w:hAnsi="Times New Roman" w:cs="Times New Roman"/>
                <w:sz w:val="24"/>
                <w:szCs w:val="24"/>
                <w:lang w:eastAsia="lt-LT"/>
              </w:rPr>
              <w:t xml:space="preserve">) muzikos pavyzdžiai, interpretacinės galimybės (klasikos kūrinių šiuolaikinės transkripcijos, pvz., A. Vivaldi ar J. S. Bacho kūriniai, atliekami elektrinėmis gitaromis, sintezatoriumi) išskiriama kino filmų, teatro muzika (pvz., lietuviškas filmas, amerikiečių Holivudas, indų </w:t>
            </w:r>
            <w:proofErr w:type="spellStart"/>
            <w:r w:rsidRPr="00F25AE7">
              <w:rPr>
                <w:rStyle w:val="normaltextrun"/>
                <w:rFonts w:ascii="Times New Roman" w:eastAsia="Times New Roman" w:hAnsi="Times New Roman" w:cs="Times New Roman"/>
                <w:sz w:val="24"/>
                <w:szCs w:val="24"/>
                <w:lang w:eastAsia="lt-LT"/>
              </w:rPr>
              <w:t>Bolivudas</w:t>
            </w:r>
            <w:proofErr w:type="spellEnd"/>
            <w:r w:rsidRPr="00F25AE7">
              <w:rPr>
                <w:rStyle w:val="normaltextrun"/>
                <w:rFonts w:ascii="Times New Roman" w:eastAsia="Times New Roman" w:hAnsi="Times New Roman" w:cs="Times New Roman"/>
                <w:sz w:val="24"/>
                <w:szCs w:val="24"/>
                <w:lang w:eastAsia="lt-LT"/>
              </w:rPr>
              <w:t>, kt.). </w:t>
            </w:r>
          </w:p>
        </w:tc>
      </w:tr>
      <w:tr w:rsidR="00025ECA" w:rsidRPr="006F7986" w14:paraId="06E42482" w14:textId="77777777" w:rsidTr="00C36E06">
        <w:trPr>
          <w:trHeight w:val="300"/>
        </w:trPr>
        <w:tc>
          <w:tcPr>
            <w:tcW w:w="1702" w:type="dxa"/>
            <w:tcBorders>
              <w:left w:val="single" w:sz="6" w:space="0" w:color="909090"/>
              <w:bottom w:val="inset" w:sz="18" w:space="0" w:color="auto"/>
              <w:right w:val="single" w:sz="6" w:space="0" w:color="909090"/>
            </w:tcBorders>
            <w:shd w:val="clear" w:color="auto" w:fill="auto"/>
            <w:vAlign w:val="center"/>
          </w:tcPr>
          <w:p w14:paraId="50B8A228" w14:textId="77777777" w:rsidR="00025ECA" w:rsidRPr="0083746D" w:rsidRDefault="00025ECA" w:rsidP="00C36E06">
            <w:pPr>
              <w:spacing w:after="0" w:line="240" w:lineRule="auto"/>
              <w:rPr>
                <w:rFonts w:ascii="Times New Roman" w:eastAsia="Times New Roman" w:hAnsi="Times New Roman" w:cs="Times New Roman"/>
                <w:sz w:val="28"/>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5631CB65" w14:textId="77777777" w:rsidR="00025ECA" w:rsidRPr="0083746D" w:rsidRDefault="00025ECA" w:rsidP="00C36E06">
            <w:pPr>
              <w:spacing w:after="0" w:line="240" w:lineRule="auto"/>
              <w:jc w:val="center"/>
              <w:textAlignment w:val="baseline"/>
              <w:rPr>
                <w:rFonts w:ascii="Times New Roman" w:eastAsia="Times New Roman" w:hAnsi="Times New Roman" w:cs="Times New Roman"/>
                <w:b/>
                <w:sz w:val="28"/>
                <w:szCs w:val="24"/>
                <w:lang w:eastAsia="lt-LT"/>
              </w:rPr>
            </w:pPr>
            <w:r w:rsidRPr="0083746D">
              <w:rPr>
                <w:rFonts w:ascii="Times New Roman" w:eastAsia="Times New Roman" w:hAnsi="Times New Roman" w:cs="Times New Roman"/>
                <w:b/>
                <w:sz w:val="28"/>
                <w:szCs w:val="24"/>
                <w:lang w:eastAsia="lt-LT"/>
              </w:rPr>
              <w:t>Iš viso:</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4F54CCFD" w14:textId="77777777" w:rsidR="00025ECA" w:rsidRPr="006F7986" w:rsidRDefault="00025ECA" w:rsidP="00C36E0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p>
        </w:tc>
        <w:tc>
          <w:tcPr>
            <w:tcW w:w="992" w:type="dxa"/>
            <w:tcBorders>
              <w:top w:val="single" w:sz="6" w:space="0" w:color="909090"/>
              <w:left w:val="single" w:sz="6" w:space="0" w:color="909090"/>
              <w:bottom w:val="single" w:sz="6" w:space="0" w:color="909090"/>
              <w:right w:val="single" w:sz="6" w:space="0" w:color="909090"/>
            </w:tcBorders>
          </w:tcPr>
          <w:p w14:paraId="0348E3F3" w14:textId="77777777" w:rsidR="00025ECA" w:rsidRPr="0083746D" w:rsidRDefault="00025ECA" w:rsidP="00C36E0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1E5D932F" w14:textId="77777777" w:rsidR="00025ECA" w:rsidRPr="0083746D" w:rsidRDefault="00025ECA" w:rsidP="00C36E06">
            <w:pPr>
              <w:spacing w:after="0" w:line="240" w:lineRule="auto"/>
              <w:textAlignment w:val="baseline"/>
              <w:rPr>
                <w:rFonts w:ascii="Times New Roman" w:eastAsia="Times New Roman" w:hAnsi="Times New Roman" w:cs="Times New Roman"/>
                <w:sz w:val="24"/>
                <w:szCs w:val="24"/>
                <w:lang w:eastAsia="lt-LT"/>
              </w:rPr>
            </w:pPr>
          </w:p>
        </w:tc>
      </w:tr>
    </w:tbl>
    <w:p w14:paraId="79593CB4" w14:textId="77777777" w:rsidR="00025ECA" w:rsidRPr="006F7986" w:rsidRDefault="00025ECA" w:rsidP="00025ECA">
      <w:pPr>
        <w:spacing w:after="0" w:line="240" w:lineRule="auto"/>
        <w:textAlignment w:val="baseline"/>
        <w:rPr>
          <w:rFonts w:ascii="Segoe UI" w:eastAsia="Times New Roman" w:hAnsi="Segoe UI" w:cs="Segoe UI"/>
          <w:sz w:val="18"/>
          <w:szCs w:val="18"/>
          <w:lang w:eastAsia="lt-LT"/>
        </w:rPr>
      </w:pPr>
      <w:r w:rsidRPr="006F7986">
        <w:rPr>
          <w:rFonts w:ascii="Calibri" w:eastAsia="Times New Roman" w:hAnsi="Calibri" w:cs="Calibri"/>
          <w:lang w:eastAsia="lt-LT"/>
        </w:rPr>
        <w:t> </w:t>
      </w:r>
    </w:p>
    <w:bookmarkEnd w:id="0"/>
    <w:p w14:paraId="6F7ACF68" w14:textId="77777777" w:rsidR="00025ECA" w:rsidRDefault="00025ECA" w:rsidP="00025ECA"/>
    <w:p w14:paraId="5573B919" w14:textId="77777777" w:rsidR="00025ECA" w:rsidRDefault="00025ECA" w:rsidP="00025ECA"/>
    <w:p w14:paraId="5390D8B6" w14:textId="77777777" w:rsidR="00F845D6" w:rsidRDefault="00F845D6"/>
    <w:sectPr w:rsidR="00F845D6" w:rsidSect="00E3131E">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A"/>
    <w:rsid w:val="00025ECA"/>
    <w:rsid w:val="002824CF"/>
    <w:rsid w:val="005B16F8"/>
    <w:rsid w:val="008F43FA"/>
    <w:rsid w:val="009A2412"/>
    <w:rsid w:val="00F25AE7"/>
    <w:rsid w:val="00F845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B8E5"/>
  <w15:chartTrackingRefBased/>
  <w15:docId w15:val="{61B655CA-3B25-4717-982B-2887A584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25EC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025EC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025ECA"/>
  </w:style>
  <w:style w:type="character" w:customStyle="1" w:styleId="eop">
    <w:name w:val="eop"/>
    <w:basedOn w:val="Numatytasispastraiposriftas"/>
    <w:rsid w:val="00025ECA"/>
  </w:style>
  <w:style w:type="character" w:styleId="Hipersaitas">
    <w:name w:val="Hyperlink"/>
    <w:basedOn w:val="Numatytasispastraiposriftas"/>
    <w:uiPriority w:val="99"/>
    <w:unhideWhenUsed/>
    <w:rsid w:val="00025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emokykla.lt/metodine-medziaga/medziaga/perziura/125?r=1" TargetMode="External"/><Relationship Id="rId2" Type="http://schemas.openxmlformats.org/officeDocument/2006/relationships/customXml" Target="../customXml/item2.xml"/><Relationship Id="rId16" Type="http://schemas.openxmlformats.org/officeDocument/2006/relationships/hyperlink" Target="https://emokykla.lt/bendrosios-programos/visos-bendrosios-programos/41?types=10&amp;cl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okykla.lt/bendrosios-programos/visos-bendrosios-programos/41?types=5&amp;clase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nauja.emokykla.lt/bendrosios-programos/visos-bendrosios-programos/12?tab=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ja.emokykla.lt/" TargetMode="External"/><Relationship Id="rId14" Type="http://schemas.openxmlformats.org/officeDocument/2006/relationships/hyperlink" Target="https://emokykla.lt/bendrosios-programos/visos-bendrosios-programos/41?types=7&amp;clas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34CC5CF-4EDA-4817-ABAB-69DA21FA37D4}"/>
</file>

<file path=customXml/itemProps2.xml><?xml version="1.0" encoding="utf-8"?>
<ds:datastoreItem xmlns:ds="http://schemas.openxmlformats.org/officeDocument/2006/customXml" ds:itemID="{D4328847-3264-4970-BCE7-85BDA3B9B28D}">
  <ds:schemaRefs>
    <ds:schemaRef ds:uri="http://schemas.microsoft.com/sharepoint/v3/contenttype/forms"/>
  </ds:schemaRefs>
</ds:datastoreItem>
</file>

<file path=customXml/itemProps3.xml><?xml version="1.0" encoding="utf-8"?>
<ds:datastoreItem xmlns:ds="http://schemas.openxmlformats.org/officeDocument/2006/customXml" ds:itemID="{789E8E0A-BF7C-46A1-BEF6-DDBDA3F6AA27}">
  <ds:schemaRefs>
    <ds:schemaRef ds:uri="http://schemas.microsoft.com/office/2006/metadata/properties"/>
    <ds:schemaRef ds:uri="http://schemas.microsoft.com/office/infopath/2007/PartnerControls"/>
    <ds:schemaRef ds:uri="http://purl.org/dc/dcmitype/"/>
    <ds:schemaRef ds:uri="8ec08d4f-da8c-4499-a438-46972a04e7fb"/>
    <ds:schemaRef ds:uri="http://schemas.microsoft.com/office/2006/documentManagement/types"/>
    <ds:schemaRef ds:uri="http://www.w3.org/XML/1998/namespace"/>
    <ds:schemaRef ds:uri="http://schemas.openxmlformats.org/package/2006/metadata/core-properties"/>
    <ds:schemaRef ds:uri="53207a1c-f7bf-4b32-b9dd-6a9dbb79b1fa"/>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6210</Words>
  <Characters>3541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4</cp:revision>
  <dcterms:created xsi:type="dcterms:W3CDTF">2023-05-30T07:46:00Z</dcterms:created>
  <dcterms:modified xsi:type="dcterms:W3CDTF">2023-06-01T12:58:00Z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