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0046B" w14:textId="77777777" w:rsidR="00190CDA" w:rsidRDefault="00190CDA" w:rsidP="00190CDA">
      <w:pPr>
        <w:jc w:val="center"/>
        <w:rPr>
          <w:szCs w:val="24"/>
          <w:lang w:eastAsia="ar-SA"/>
        </w:rPr>
      </w:pPr>
      <w:r>
        <w:rPr>
          <w:rStyle w:val="normaltextrun"/>
          <w:b/>
          <w:bCs/>
          <w:color w:val="000000"/>
          <w:bdr w:val="none" w:sz="0" w:space="0" w:color="auto" w:frame="1"/>
        </w:rPr>
        <w:t>KATALIKŲ TIKYBOS  ILGALAIKIO PLANO RENGIMAS</w:t>
      </w:r>
    </w:p>
    <w:p w14:paraId="4FB6574F" w14:textId="77777777" w:rsidR="00190CDA" w:rsidRDefault="00190CDA" w:rsidP="00190CDA">
      <w:pPr>
        <w:rPr>
          <w:szCs w:val="24"/>
          <w:lang w:eastAsia="ar-SA"/>
        </w:rPr>
      </w:pPr>
    </w:p>
    <w:p w14:paraId="214054C2" w14:textId="77777777" w:rsidR="00190CDA" w:rsidRDefault="00190CDA" w:rsidP="00190CDA">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color w:val="000000"/>
          <w:shd w:val="clear" w:color="auto" w:fill="FFFFFF"/>
        </w:rPr>
        <w:t>tarpdalykinėmis</w:t>
      </w:r>
      <w:proofErr w:type="spellEnd"/>
      <w:r>
        <w:rPr>
          <w:rStyle w:val="normaltextrun"/>
          <w:color w:val="000000"/>
          <w:shd w:val="clear" w:color="auto" w:fill="FFFFFF"/>
        </w:rPr>
        <w:t xml:space="preserve"> temomis. Pamokų ir veiklų planavimo pavyzdžių galima rasti Katalikų tikybos bendrosios programos (toliau – BP) įgyvendinimo rekomendacijų dalyje </w:t>
      </w:r>
      <w:hyperlink r:id="rId8" w:history="1">
        <w:r>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pasiekimų, kompetencijų ir </w:t>
      </w:r>
      <w:proofErr w:type="spellStart"/>
      <w:r>
        <w:rPr>
          <w:rStyle w:val="normaltextrun"/>
          <w:color w:val="000000"/>
          <w:shd w:val="clear" w:color="auto" w:fill="FFFFFF"/>
        </w:rPr>
        <w:t>tarpdalykinių</w:t>
      </w:r>
      <w:proofErr w:type="spellEnd"/>
      <w:r>
        <w:rPr>
          <w:rStyle w:val="normaltextrun"/>
          <w:color w:val="000000"/>
          <w:shd w:val="clear" w:color="auto" w:fill="FFFFFF"/>
        </w:rPr>
        <w:t xml:space="preserve"> temų nurodytomis sąsajomis.</w:t>
      </w:r>
      <w:r>
        <w:rPr>
          <w:rStyle w:val="eop"/>
          <w:color w:val="000000"/>
          <w:shd w:val="clear" w:color="auto" w:fill="FFFFFF"/>
        </w:rPr>
        <w:t> </w:t>
      </w:r>
    </w:p>
    <w:p w14:paraId="3C004EE6" w14:textId="77777777" w:rsidR="00190CDA" w:rsidRDefault="00190CDA" w:rsidP="00190CDA">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 xml:space="preserve">Kompetencijos nurodomos prie kiekvieno pasirinkto </w:t>
      </w:r>
      <w:proofErr w:type="spellStart"/>
      <w:r>
        <w:rPr>
          <w:rStyle w:val="normaltextrun"/>
          <w:color w:val="000000"/>
          <w:shd w:val="clear" w:color="auto" w:fill="FFFFFF"/>
        </w:rPr>
        <w:t>koncentro</w:t>
      </w:r>
      <w:proofErr w:type="spellEnd"/>
      <w:r>
        <w:rPr>
          <w:rStyle w:val="normaltextrun"/>
          <w:color w:val="000000"/>
          <w:shd w:val="clear" w:color="auto" w:fill="FFFFFF"/>
        </w:rPr>
        <w:t xml:space="preserve"> pasiekimo.</w:t>
      </w:r>
    </w:p>
    <w:p w14:paraId="72DF9EC6" w14:textId="77777777" w:rsidR="00190CDA" w:rsidRDefault="00190CDA" w:rsidP="00190CDA">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w:t>
      </w:r>
      <w:proofErr w:type="spellStart"/>
      <w:r>
        <w:rPr>
          <w:rStyle w:val="normaltextrun"/>
          <w:color w:val="000000"/>
          <w:shd w:val="clear" w:color="auto" w:fill="FFFFFF"/>
        </w:rPr>
        <w:t>si</w:t>
      </w:r>
      <w:proofErr w:type="spellEnd"/>
      <w:r>
        <w:rPr>
          <w:rStyle w:val="normaltextrun"/>
          <w:color w:val="000000"/>
          <w:shd w:val="clear" w:color="auto" w:fill="FFFFFF"/>
        </w:rPr>
        <w:t>) turinio citatų langas.</w:t>
      </w:r>
    </w:p>
    <w:p w14:paraId="07DB0E3D" w14:textId="77777777" w:rsidR="00190CDA" w:rsidRDefault="00190CDA" w:rsidP="00190CDA">
      <w:pPr>
        <w:pStyle w:val="paragraph"/>
        <w:spacing w:before="0" w:beforeAutospacing="0" w:after="0" w:afterAutospacing="0"/>
        <w:ind w:firstLine="567"/>
        <w:jc w:val="both"/>
        <w:textAlignment w:val="baseline"/>
        <w:rPr>
          <w:rFonts w:ascii="Segoe UI" w:hAnsi="Segoe UI" w:cs="Segoe UI"/>
          <w:sz w:val="18"/>
          <w:szCs w:val="18"/>
        </w:rPr>
      </w:pPr>
      <w:proofErr w:type="spellStart"/>
      <w:r>
        <w:rPr>
          <w:rStyle w:val="normaltextrun"/>
          <w:color w:val="000000"/>
          <w:shd w:val="clear" w:color="auto" w:fill="FFFFFF"/>
        </w:rPr>
        <w:t>Tarpdalykinės</w:t>
      </w:r>
      <w:proofErr w:type="spellEnd"/>
      <w:r>
        <w:rPr>
          <w:rStyle w:val="normaltextrun"/>
          <w:color w:val="000000"/>
          <w:shd w:val="clear" w:color="auto" w:fill="FFFFFF"/>
        </w:rPr>
        <w:t xml:space="preserve"> temos nurodomos prie kiekvienos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temos. Užvedus žymeklį ant prie temų pateiktos ikonėlės atsiveria langas, kuriame matoma </w:t>
      </w:r>
      <w:proofErr w:type="spellStart"/>
      <w:r>
        <w:rPr>
          <w:rStyle w:val="normaltextrun"/>
          <w:color w:val="000000"/>
          <w:shd w:val="clear" w:color="auto" w:fill="FFFFFF"/>
        </w:rPr>
        <w:t>tarpdalykinė</w:t>
      </w:r>
      <w:proofErr w:type="spellEnd"/>
      <w:r>
        <w:rPr>
          <w:rStyle w:val="normaltextrun"/>
          <w:color w:val="000000"/>
          <w:shd w:val="clear" w:color="auto" w:fill="FFFFFF"/>
        </w:rPr>
        <w:t xml:space="preserve"> tema ir su ja susieto(-ų) pasiekimo(-ų) ir (ar) mokymo(</w:t>
      </w:r>
      <w:proofErr w:type="spellStart"/>
      <w:r>
        <w:rPr>
          <w:rStyle w:val="normaltextrun"/>
          <w:color w:val="000000"/>
          <w:shd w:val="clear" w:color="auto" w:fill="FFFFFF"/>
        </w:rPr>
        <w:t>si</w:t>
      </w:r>
      <w:proofErr w:type="spellEnd"/>
      <w:r>
        <w:rPr>
          <w:rStyle w:val="normaltextrun"/>
          <w:color w:val="000000"/>
          <w:shd w:val="clear" w:color="auto" w:fill="FFFFFF"/>
        </w:rPr>
        <w:t>) turinio temos(-ų) citatos.</w:t>
      </w:r>
    </w:p>
    <w:p w14:paraId="79BDFAD2" w14:textId="77777777" w:rsidR="00190CDA" w:rsidRDefault="00190CDA" w:rsidP="00190CD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084C4121" w14:textId="77777777" w:rsidR="00190CDA" w:rsidRDefault="00190CDA" w:rsidP="00190CDA">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706B45C2" w14:textId="77777777"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sritis, tema </w:t>
      </w:r>
      <w:r>
        <w:rPr>
          <w:rStyle w:val="normaltextrun"/>
        </w:rPr>
        <w:t>yra pateikiamos Katalikų tikybos bendrosios programos (toliau – BP)  mokymosi turinio sritis ir tema, kurią mokytojas gali pasipildyti/pasikeisti savo nuožiūra;</w:t>
      </w:r>
      <w:r>
        <w:rPr>
          <w:rStyle w:val="eop"/>
        </w:rPr>
        <w:t> </w:t>
      </w:r>
    </w:p>
    <w:p w14:paraId="5E601B36" w14:textId="77777777"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800CAA6" w14:textId="77777777" w:rsidR="00190CDA" w:rsidRDefault="00190CDA" w:rsidP="00190CDA">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16B0896" w14:textId="77777777" w:rsidR="00190CDA" w:rsidRDefault="00190CDA" w:rsidP="00190CDA">
      <w:pPr>
        <w:pStyle w:val="paragraph"/>
        <w:spacing w:before="0" w:beforeAutospacing="0" w:after="0" w:afterAutospacing="0"/>
        <w:ind w:left="360"/>
        <w:jc w:val="center"/>
        <w:textAlignment w:val="baseline"/>
        <w:rPr>
          <w:rStyle w:val="normaltextrun"/>
          <w:b/>
          <w:bCs/>
        </w:rPr>
      </w:pPr>
    </w:p>
    <w:p w14:paraId="42354ADE" w14:textId="77777777" w:rsidR="00190CDA" w:rsidRDefault="00190CDA" w:rsidP="00190CDA">
      <w:pPr>
        <w:pStyle w:val="paragraph"/>
        <w:spacing w:before="0" w:beforeAutospacing="0" w:after="0" w:afterAutospacing="0"/>
        <w:ind w:left="360"/>
        <w:jc w:val="center"/>
        <w:textAlignment w:val="baseline"/>
        <w:rPr>
          <w:rStyle w:val="normaltextrun"/>
          <w:b/>
          <w:bCs/>
        </w:rPr>
      </w:pPr>
      <w:r>
        <w:rPr>
          <w:rStyle w:val="normaltextrun"/>
          <w:b/>
          <w:bCs/>
        </w:rPr>
        <w:t>KATALIKŲ TIKYBOS  ILGALAIKIS  PLANAS 1 KLASEI</w:t>
      </w:r>
    </w:p>
    <w:p w14:paraId="11860177" w14:textId="77777777" w:rsidR="00190CDA" w:rsidRDefault="00190CDA" w:rsidP="00190CDA">
      <w:pPr>
        <w:rPr>
          <w:szCs w:val="24"/>
          <w:lang w:eastAsia="ar-SA"/>
        </w:rPr>
      </w:pPr>
    </w:p>
    <w:p w14:paraId="5CF2EB66" w14:textId="77777777" w:rsidR="00190CDA" w:rsidRDefault="00190CDA" w:rsidP="00190CDA">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6E3D9898"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C13F8AD"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3537EF9F"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F07A62" w14:textId="77777777" w:rsidR="001343FA" w:rsidRDefault="001343FA"/>
    <w:p w14:paraId="4D93D05A" w14:textId="77777777" w:rsidR="00190CDA" w:rsidRDefault="00190CDA" w:rsidP="00190CDA">
      <w:pPr>
        <w:jc w:val="center"/>
        <w:rPr>
          <w:b/>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678"/>
        <w:gridCol w:w="1842"/>
        <w:gridCol w:w="1842"/>
      </w:tblGrid>
      <w:tr w:rsidR="00190CDA" w14:paraId="4439140E" w14:textId="77777777" w:rsidTr="00190CDA">
        <w:tc>
          <w:tcPr>
            <w:tcW w:w="846" w:type="dxa"/>
          </w:tcPr>
          <w:p w14:paraId="3AACE2DD" w14:textId="77777777" w:rsidR="00190CDA" w:rsidRDefault="00190CDA" w:rsidP="00190CDA">
            <w:pPr>
              <w:jc w:val="both"/>
            </w:pPr>
            <w:r w:rsidRPr="00074F19">
              <w:rPr>
                <w:b/>
              </w:rPr>
              <w:t>EIL. NR.</w:t>
            </w:r>
          </w:p>
        </w:tc>
        <w:tc>
          <w:tcPr>
            <w:tcW w:w="4678" w:type="dxa"/>
          </w:tcPr>
          <w:p w14:paraId="15880DC8" w14:textId="77777777" w:rsidR="00190CDA" w:rsidRDefault="00190CDA" w:rsidP="00190CDA">
            <w:pPr>
              <w:ind w:firstLine="720"/>
              <w:jc w:val="center"/>
              <w:rPr>
                <w:lang w:eastAsia="en-US"/>
              </w:rPr>
            </w:pPr>
            <w:r>
              <w:rPr>
                <w:b/>
                <w:lang w:eastAsia="en-US"/>
              </w:rPr>
              <w:t>MOKYMOSI TURINIO SRITIS, TEMA</w:t>
            </w:r>
          </w:p>
        </w:tc>
        <w:tc>
          <w:tcPr>
            <w:tcW w:w="1842" w:type="dxa"/>
          </w:tcPr>
          <w:p w14:paraId="1F856ECD" w14:textId="77777777" w:rsidR="00190CDA" w:rsidRDefault="00190CDA" w:rsidP="00190CDA">
            <w:pPr>
              <w:ind w:firstLine="720"/>
              <w:jc w:val="center"/>
              <w:rPr>
                <w:b/>
                <w:lang w:eastAsia="en-US"/>
              </w:rPr>
            </w:pPr>
            <w:r>
              <w:rPr>
                <w:b/>
                <w:lang w:eastAsia="en-US"/>
              </w:rPr>
              <w:t>70 proc.</w:t>
            </w:r>
          </w:p>
          <w:p w14:paraId="5CF86A57" w14:textId="77777777" w:rsidR="00190CDA" w:rsidRDefault="00190CDA" w:rsidP="00190CDA">
            <w:pPr>
              <w:ind w:firstLine="720"/>
              <w:jc w:val="center"/>
              <w:rPr>
                <w:lang w:eastAsia="en-US"/>
              </w:rPr>
            </w:pPr>
            <w:r>
              <w:rPr>
                <w:b/>
                <w:lang w:eastAsia="en-US"/>
              </w:rPr>
              <w:t>27 val.</w:t>
            </w:r>
          </w:p>
        </w:tc>
        <w:tc>
          <w:tcPr>
            <w:tcW w:w="1842" w:type="dxa"/>
          </w:tcPr>
          <w:p w14:paraId="41146A77" w14:textId="77777777" w:rsidR="00190CDA" w:rsidRDefault="00190CDA" w:rsidP="00190CDA">
            <w:pPr>
              <w:ind w:firstLine="720"/>
              <w:jc w:val="center"/>
              <w:rPr>
                <w:b/>
                <w:lang w:eastAsia="en-US"/>
              </w:rPr>
            </w:pPr>
            <w:r>
              <w:rPr>
                <w:b/>
                <w:lang w:eastAsia="en-US"/>
              </w:rPr>
              <w:t>30 proc.</w:t>
            </w:r>
          </w:p>
          <w:p w14:paraId="47452F6C" w14:textId="77777777" w:rsidR="00190CDA" w:rsidRDefault="00190CDA" w:rsidP="00190CDA">
            <w:pPr>
              <w:ind w:firstLine="720"/>
              <w:jc w:val="center"/>
              <w:rPr>
                <w:b/>
                <w:lang w:eastAsia="en-US"/>
              </w:rPr>
            </w:pPr>
            <w:r>
              <w:rPr>
                <w:b/>
                <w:lang w:eastAsia="en-US"/>
              </w:rPr>
              <w:t>8 val.</w:t>
            </w:r>
          </w:p>
        </w:tc>
      </w:tr>
      <w:tr w:rsidR="00190CDA" w14:paraId="1C04EF9C" w14:textId="77777777" w:rsidTr="00190CDA">
        <w:tc>
          <w:tcPr>
            <w:tcW w:w="846" w:type="dxa"/>
          </w:tcPr>
          <w:p w14:paraId="5CC34469" w14:textId="77777777" w:rsidR="00190CDA" w:rsidRDefault="00190CDA" w:rsidP="00847217">
            <w:pPr>
              <w:jc w:val="both"/>
            </w:pPr>
            <w:r>
              <w:t>1.</w:t>
            </w:r>
          </w:p>
        </w:tc>
        <w:tc>
          <w:tcPr>
            <w:tcW w:w="4678" w:type="dxa"/>
          </w:tcPr>
          <w:p w14:paraId="4A245C7E" w14:textId="77777777" w:rsidR="00190CDA" w:rsidRDefault="00190CDA" w:rsidP="00847217">
            <w:pPr>
              <w:pStyle w:val="ListParagraph"/>
              <w:ind w:left="30" w:firstLine="30"/>
              <w:rPr>
                <w:bCs/>
              </w:rPr>
            </w:pPr>
            <w:r>
              <w:rPr>
                <w:bCs/>
              </w:rPr>
              <w:t>Ko mokysimės šiais metais? Mokiniai supažindinami su katalikų tikybos programa, 1 klasės mokymosi turiniu, pasiekimų vertinimo ir įsivertinimo kriterijais.</w:t>
            </w:r>
          </w:p>
        </w:tc>
        <w:tc>
          <w:tcPr>
            <w:tcW w:w="1842" w:type="dxa"/>
          </w:tcPr>
          <w:p w14:paraId="6FFD1A46" w14:textId="77777777" w:rsidR="00190CDA" w:rsidRPr="00190CDA" w:rsidRDefault="00190CDA" w:rsidP="00847217">
            <w:pPr>
              <w:jc w:val="center"/>
            </w:pPr>
            <w:r w:rsidRPr="00190CDA">
              <w:t>1</w:t>
            </w:r>
          </w:p>
        </w:tc>
        <w:tc>
          <w:tcPr>
            <w:tcW w:w="1842" w:type="dxa"/>
          </w:tcPr>
          <w:p w14:paraId="5BE5DABA" w14:textId="77777777" w:rsidR="00190CDA" w:rsidRPr="00986DF1" w:rsidRDefault="00190CDA" w:rsidP="00847217">
            <w:pPr>
              <w:jc w:val="center"/>
              <w:rPr>
                <w:highlight w:val="yellow"/>
              </w:rPr>
            </w:pPr>
          </w:p>
        </w:tc>
      </w:tr>
      <w:tr w:rsidR="00190CDA" w14:paraId="1BEAB7CA" w14:textId="77777777" w:rsidTr="00190CDA">
        <w:tc>
          <w:tcPr>
            <w:tcW w:w="846" w:type="dxa"/>
          </w:tcPr>
          <w:p w14:paraId="0468E594" w14:textId="77777777" w:rsidR="00190CDA" w:rsidRDefault="00190CDA" w:rsidP="00847217">
            <w:pPr>
              <w:jc w:val="both"/>
            </w:pPr>
            <w:r>
              <w:t>2.</w:t>
            </w:r>
          </w:p>
        </w:tc>
        <w:tc>
          <w:tcPr>
            <w:tcW w:w="4678" w:type="dxa"/>
          </w:tcPr>
          <w:p w14:paraId="473C1131" w14:textId="77777777" w:rsidR="00190CDA" w:rsidRDefault="00190CDA" w:rsidP="00847217">
            <w:pPr>
              <w:suppressAutoHyphens/>
              <w:ind w:firstLine="720"/>
              <w:jc w:val="both"/>
              <w:rPr>
                <w:szCs w:val="24"/>
              </w:rPr>
            </w:pPr>
            <w:r>
              <w:rPr>
                <w:szCs w:val="24"/>
              </w:rPr>
              <w:t>25.1. Šventojo Rašto pažinimas.</w:t>
            </w:r>
          </w:p>
          <w:p w14:paraId="666C6801" w14:textId="77777777" w:rsidR="00190CDA" w:rsidRDefault="00190CDA" w:rsidP="00847217">
            <w:pPr>
              <w:suppressAutoHyphens/>
              <w:ind w:firstLine="720"/>
              <w:jc w:val="both"/>
              <w:rPr>
                <w:szCs w:val="24"/>
              </w:rPr>
            </w:pPr>
            <w:r>
              <w:rPr>
                <w:szCs w:val="24"/>
              </w:rPr>
              <w:lastRenderedPageBreak/>
              <w:t xml:space="preserve">25.1.1. Šventasis Raštas – ypatinga knyga. </w:t>
            </w:r>
          </w:p>
          <w:p w14:paraId="67DEDB15" w14:textId="77777777" w:rsidR="00190CDA" w:rsidRPr="0022266C" w:rsidRDefault="00190CDA" w:rsidP="00190CDA">
            <w:pPr>
              <w:widowControl w:val="0"/>
              <w:pBdr>
                <w:top w:val="nil"/>
                <w:left w:val="nil"/>
                <w:bottom w:val="nil"/>
                <w:right w:val="nil"/>
                <w:between w:val="nil"/>
              </w:pBdr>
              <w:ind w:firstLine="720"/>
              <w:jc w:val="both"/>
              <w:rPr>
                <w:noProof/>
              </w:rPr>
            </w:pPr>
            <w:r>
              <w:rPr>
                <w:bCs/>
                <w:szCs w:val="24"/>
              </w:rPr>
              <w:t xml:space="preserve">25.1.2. Dievas dovanoja mums pasaulį ir juo rūpinasi. </w:t>
            </w:r>
          </w:p>
        </w:tc>
        <w:tc>
          <w:tcPr>
            <w:tcW w:w="1842" w:type="dxa"/>
          </w:tcPr>
          <w:p w14:paraId="6B87A3F8" w14:textId="77777777" w:rsidR="00190CDA" w:rsidRPr="00190CDA" w:rsidRDefault="00190CDA" w:rsidP="00847217">
            <w:pPr>
              <w:jc w:val="center"/>
            </w:pPr>
            <w:r w:rsidRPr="00190CDA">
              <w:lastRenderedPageBreak/>
              <w:t>5</w:t>
            </w:r>
          </w:p>
        </w:tc>
        <w:tc>
          <w:tcPr>
            <w:tcW w:w="1842" w:type="dxa"/>
          </w:tcPr>
          <w:p w14:paraId="4DAA5E26" w14:textId="77777777" w:rsidR="00190CDA" w:rsidRPr="00986DF1" w:rsidRDefault="00190CDA" w:rsidP="00847217">
            <w:pPr>
              <w:jc w:val="center"/>
              <w:rPr>
                <w:highlight w:val="yellow"/>
              </w:rPr>
            </w:pPr>
          </w:p>
        </w:tc>
      </w:tr>
      <w:tr w:rsidR="00190CDA" w14:paraId="7F390AB5" w14:textId="77777777" w:rsidTr="00190CDA">
        <w:tc>
          <w:tcPr>
            <w:tcW w:w="846" w:type="dxa"/>
          </w:tcPr>
          <w:p w14:paraId="16998E03" w14:textId="77777777" w:rsidR="00190CDA" w:rsidRDefault="00190CDA" w:rsidP="00847217">
            <w:pPr>
              <w:jc w:val="both"/>
            </w:pPr>
            <w:r>
              <w:t>3.</w:t>
            </w:r>
          </w:p>
        </w:tc>
        <w:tc>
          <w:tcPr>
            <w:tcW w:w="4678" w:type="dxa"/>
          </w:tcPr>
          <w:p w14:paraId="1BE9C376" w14:textId="77777777" w:rsidR="00190CDA" w:rsidRDefault="00190CDA" w:rsidP="00847217">
            <w:pPr>
              <w:suppressAutoHyphens/>
              <w:ind w:firstLine="720"/>
              <w:jc w:val="both"/>
              <w:rPr>
                <w:szCs w:val="24"/>
              </w:rPr>
            </w:pPr>
            <w:r>
              <w:rPr>
                <w:szCs w:val="24"/>
              </w:rPr>
              <w:t>25.2. Tikėjimo turinio pažinimas.</w:t>
            </w:r>
          </w:p>
          <w:p w14:paraId="71FC4C72" w14:textId="77777777" w:rsidR="00190CDA" w:rsidRDefault="00190CDA" w:rsidP="00847217">
            <w:pPr>
              <w:suppressAutoHyphens/>
              <w:ind w:firstLine="720"/>
              <w:jc w:val="both"/>
              <w:rPr>
                <w:szCs w:val="24"/>
              </w:rPr>
            </w:pPr>
            <w:r>
              <w:rPr>
                <w:szCs w:val="24"/>
              </w:rPr>
              <w:t xml:space="preserve">25.2.1. Kalėdų žinia ir Velykų paslaptis. </w:t>
            </w:r>
          </w:p>
          <w:p w14:paraId="770DB5A9" w14:textId="77777777" w:rsidR="00190CDA" w:rsidRDefault="00190CDA" w:rsidP="00847217">
            <w:pPr>
              <w:suppressAutoHyphens/>
              <w:ind w:firstLine="720"/>
              <w:jc w:val="both"/>
              <w:rPr>
                <w:szCs w:val="24"/>
              </w:rPr>
            </w:pPr>
            <w:r>
              <w:rPr>
                <w:szCs w:val="24"/>
              </w:rPr>
              <w:t xml:space="preserve">25.2.2. Dievas yra Kūrėjas ir mane kviečia kurti. </w:t>
            </w:r>
          </w:p>
          <w:p w14:paraId="63FF0529" w14:textId="77777777" w:rsidR="00190CDA" w:rsidRPr="0022266C" w:rsidRDefault="00190CDA" w:rsidP="00190CDA">
            <w:pPr>
              <w:suppressAutoHyphens/>
              <w:ind w:firstLine="720"/>
              <w:jc w:val="both"/>
            </w:pPr>
            <w:r>
              <w:rPr>
                <w:szCs w:val="24"/>
              </w:rPr>
              <w:t xml:space="preserve">25.2.3. Esame skirtingi. </w:t>
            </w:r>
          </w:p>
        </w:tc>
        <w:tc>
          <w:tcPr>
            <w:tcW w:w="1842" w:type="dxa"/>
          </w:tcPr>
          <w:p w14:paraId="4975DDF8" w14:textId="77777777" w:rsidR="00190CDA" w:rsidRPr="00190CDA" w:rsidRDefault="00190CDA" w:rsidP="00847217">
            <w:pPr>
              <w:jc w:val="center"/>
            </w:pPr>
            <w:r w:rsidRPr="00190CDA">
              <w:t>6</w:t>
            </w:r>
          </w:p>
        </w:tc>
        <w:tc>
          <w:tcPr>
            <w:tcW w:w="1842" w:type="dxa"/>
          </w:tcPr>
          <w:p w14:paraId="49D15866" w14:textId="77777777" w:rsidR="00190CDA" w:rsidRPr="00986DF1" w:rsidRDefault="00190CDA" w:rsidP="00847217">
            <w:pPr>
              <w:jc w:val="center"/>
              <w:rPr>
                <w:highlight w:val="yellow"/>
              </w:rPr>
            </w:pPr>
          </w:p>
        </w:tc>
      </w:tr>
      <w:tr w:rsidR="00190CDA" w14:paraId="26F945FC" w14:textId="77777777" w:rsidTr="00190CDA">
        <w:tc>
          <w:tcPr>
            <w:tcW w:w="846" w:type="dxa"/>
          </w:tcPr>
          <w:p w14:paraId="4A5CB0CC" w14:textId="77777777" w:rsidR="00190CDA" w:rsidRDefault="00190CDA" w:rsidP="00847217">
            <w:pPr>
              <w:jc w:val="both"/>
            </w:pPr>
            <w:r>
              <w:t>4.</w:t>
            </w:r>
          </w:p>
        </w:tc>
        <w:tc>
          <w:tcPr>
            <w:tcW w:w="4678" w:type="dxa"/>
          </w:tcPr>
          <w:p w14:paraId="60F76371" w14:textId="77777777" w:rsidR="00190CDA" w:rsidRDefault="00190CDA" w:rsidP="00847217">
            <w:pPr>
              <w:suppressAutoHyphens/>
              <w:ind w:firstLine="720"/>
              <w:jc w:val="both"/>
              <w:rPr>
                <w:szCs w:val="24"/>
              </w:rPr>
            </w:pPr>
            <w:r>
              <w:rPr>
                <w:szCs w:val="24"/>
              </w:rPr>
              <w:t>25.3. Bažnyčia ir liturgija.</w:t>
            </w:r>
          </w:p>
          <w:p w14:paraId="0DAEBE05" w14:textId="77777777" w:rsidR="00190CDA" w:rsidRDefault="00190CDA" w:rsidP="00190CDA">
            <w:pPr>
              <w:suppressAutoHyphens/>
              <w:ind w:firstLine="720"/>
              <w:jc w:val="both"/>
            </w:pPr>
            <w:r>
              <w:rPr>
                <w:szCs w:val="24"/>
              </w:rPr>
              <w:t xml:space="preserve">25.3.1. Bažnyčia: pastatas ir bendruomenė. </w:t>
            </w:r>
          </w:p>
        </w:tc>
        <w:tc>
          <w:tcPr>
            <w:tcW w:w="1842" w:type="dxa"/>
          </w:tcPr>
          <w:p w14:paraId="03BC82BD" w14:textId="77777777" w:rsidR="00190CDA" w:rsidRPr="00190CDA" w:rsidRDefault="00190CDA" w:rsidP="00847217">
            <w:pPr>
              <w:jc w:val="center"/>
            </w:pPr>
            <w:r w:rsidRPr="00190CDA">
              <w:t>4</w:t>
            </w:r>
          </w:p>
        </w:tc>
        <w:tc>
          <w:tcPr>
            <w:tcW w:w="1842" w:type="dxa"/>
          </w:tcPr>
          <w:p w14:paraId="71F0339F" w14:textId="77777777" w:rsidR="00190CDA" w:rsidRPr="00986DF1" w:rsidRDefault="00190CDA" w:rsidP="00847217">
            <w:pPr>
              <w:jc w:val="center"/>
              <w:rPr>
                <w:highlight w:val="yellow"/>
              </w:rPr>
            </w:pPr>
          </w:p>
        </w:tc>
      </w:tr>
      <w:tr w:rsidR="00190CDA" w14:paraId="6BE67A80" w14:textId="77777777" w:rsidTr="00190CDA">
        <w:tc>
          <w:tcPr>
            <w:tcW w:w="846" w:type="dxa"/>
          </w:tcPr>
          <w:p w14:paraId="43FEABB0" w14:textId="77777777" w:rsidR="00190CDA" w:rsidRDefault="00190CDA" w:rsidP="00847217">
            <w:pPr>
              <w:jc w:val="both"/>
            </w:pPr>
            <w:r>
              <w:t>5.</w:t>
            </w:r>
          </w:p>
        </w:tc>
        <w:tc>
          <w:tcPr>
            <w:tcW w:w="4678" w:type="dxa"/>
          </w:tcPr>
          <w:p w14:paraId="1C0D624C" w14:textId="77777777" w:rsidR="00190CDA" w:rsidRDefault="00190CDA" w:rsidP="00847217">
            <w:pPr>
              <w:suppressAutoHyphens/>
              <w:ind w:firstLine="720"/>
              <w:jc w:val="both"/>
              <w:rPr>
                <w:szCs w:val="24"/>
              </w:rPr>
            </w:pPr>
            <w:r>
              <w:rPr>
                <w:szCs w:val="24"/>
              </w:rPr>
              <w:t>25.4. </w:t>
            </w:r>
            <w:r>
              <w:rPr>
                <w:bCs/>
                <w:szCs w:val="24"/>
              </w:rPr>
              <w:t>Asmens tobulėjimas ir dvasinis gyvenimas</w:t>
            </w:r>
            <w:r>
              <w:rPr>
                <w:szCs w:val="24"/>
              </w:rPr>
              <w:t>.</w:t>
            </w:r>
          </w:p>
          <w:p w14:paraId="4880AB8A" w14:textId="77777777" w:rsidR="00190CDA" w:rsidRDefault="00190CDA" w:rsidP="00847217">
            <w:pPr>
              <w:suppressAutoHyphens/>
              <w:ind w:firstLine="720"/>
              <w:jc w:val="both"/>
              <w:rPr>
                <w:szCs w:val="24"/>
              </w:rPr>
            </w:pPr>
            <w:r>
              <w:rPr>
                <w:szCs w:val="24"/>
              </w:rPr>
              <w:t xml:space="preserve">25.4.1. Kaip žmonės meldžiasi? </w:t>
            </w:r>
          </w:p>
          <w:p w14:paraId="0B41B43D" w14:textId="77777777" w:rsidR="00190CDA" w:rsidRPr="00982CCE" w:rsidRDefault="00190CDA" w:rsidP="00190CDA">
            <w:pPr>
              <w:suppressAutoHyphens/>
              <w:ind w:firstLine="720"/>
              <w:jc w:val="both"/>
              <w:rPr>
                <w:b/>
                <w:color w:val="000000"/>
              </w:rPr>
            </w:pPr>
            <w:r>
              <w:rPr>
                <w:szCs w:val="24"/>
              </w:rPr>
              <w:t xml:space="preserve">25.4.2. Susitikimas su Jėzumi tyloje. </w:t>
            </w:r>
          </w:p>
        </w:tc>
        <w:tc>
          <w:tcPr>
            <w:tcW w:w="1842" w:type="dxa"/>
          </w:tcPr>
          <w:p w14:paraId="72AC393C" w14:textId="77777777" w:rsidR="00190CDA" w:rsidRPr="00190CDA" w:rsidRDefault="00190CDA" w:rsidP="00847217">
            <w:pPr>
              <w:jc w:val="center"/>
            </w:pPr>
            <w:r w:rsidRPr="00190CDA">
              <w:t>5</w:t>
            </w:r>
          </w:p>
        </w:tc>
        <w:tc>
          <w:tcPr>
            <w:tcW w:w="1842" w:type="dxa"/>
          </w:tcPr>
          <w:p w14:paraId="541CB206" w14:textId="77777777" w:rsidR="00190CDA" w:rsidRPr="00986DF1" w:rsidRDefault="00190CDA" w:rsidP="00847217">
            <w:pPr>
              <w:jc w:val="center"/>
              <w:rPr>
                <w:highlight w:val="yellow"/>
              </w:rPr>
            </w:pPr>
          </w:p>
        </w:tc>
      </w:tr>
      <w:tr w:rsidR="00190CDA" w14:paraId="30538BB6" w14:textId="77777777" w:rsidTr="00190CDA">
        <w:tc>
          <w:tcPr>
            <w:tcW w:w="846" w:type="dxa"/>
          </w:tcPr>
          <w:p w14:paraId="03F6770A" w14:textId="77777777" w:rsidR="00190CDA" w:rsidRDefault="00190CDA" w:rsidP="00847217">
            <w:pPr>
              <w:jc w:val="both"/>
            </w:pPr>
            <w:r>
              <w:t>6.</w:t>
            </w:r>
          </w:p>
        </w:tc>
        <w:tc>
          <w:tcPr>
            <w:tcW w:w="4678" w:type="dxa"/>
          </w:tcPr>
          <w:p w14:paraId="21417BE6" w14:textId="77777777" w:rsidR="00190CDA" w:rsidRDefault="00190CDA" w:rsidP="00847217">
            <w:pPr>
              <w:suppressAutoHyphens/>
              <w:ind w:firstLine="720"/>
              <w:jc w:val="both"/>
              <w:rPr>
                <w:szCs w:val="24"/>
              </w:rPr>
            </w:pPr>
            <w:r>
              <w:rPr>
                <w:szCs w:val="24"/>
              </w:rPr>
              <w:t>25.5. Asmuo ir moralė.</w:t>
            </w:r>
          </w:p>
          <w:p w14:paraId="683AE20C" w14:textId="77777777" w:rsidR="00190CDA" w:rsidRDefault="00190CDA" w:rsidP="00847217">
            <w:pPr>
              <w:suppressAutoHyphens/>
              <w:ind w:firstLine="720"/>
              <w:jc w:val="both"/>
              <w:rPr>
                <w:szCs w:val="24"/>
              </w:rPr>
            </w:pPr>
            <w:r>
              <w:rPr>
                <w:szCs w:val="24"/>
              </w:rPr>
              <w:t xml:space="preserve">25.5.1. Gyvybė neliečiama. </w:t>
            </w:r>
          </w:p>
          <w:p w14:paraId="35FEC8BE" w14:textId="77777777" w:rsidR="00190CDA" w:rsidRPr="0022266C" w:rsidRDefault="00190CDA" w:rsidP="00190CDA">
            <w:pPr>
              <w:suppressAutoHyphens/>
              <w:ind w:firstLine="720"/>
              <w:jc w:val="both"/>
              <w:rPr>
                <w:bCs/>
              </w:rPr>
            </w:pPr>
            <w:r>
              <w:rPr>
                <w:szCs w:val="24"/>
              </w:rPr>
              <w:t xml:space="preserve">25.5.2. Žmogus – unikalus Dievo kūrinys. </w:t>
            </w:r>
          </w:p>
        </w:tc>
        <w:tc>
          <w:tcPr>
            <w:tcW w:w="1842" w:type="dxa"/>
          </w:tcPr>
          <w:p w14:paraId="0A67E776" w14:textId="77777777" w:rsidR="00190CDA" w:rsidRPr="00190CDA" w:rsidRDefault="00190CDA" w:rsidP="00847217">
            <w:pPr>
              <w:jc w:val="center"/>
            </w:pPr>
            <w:r w:rsidRPr="00190CDA">
              <w:t>5</w:t>
            </w:r>
          </w:p>
        </w:tc>
        <w:tc>
          <w:tcPr>
            <w:tcW w:w="1842" w:type="dxa"/>
          </w:tcPr>
          <w:p w14:paraId="4F274374" w14:textId="77777777" w:rsidR="00190CDA" w:rsidRPr="00986DF1" w:rsidRDefault="00190CDA" w:rsidP="00847217">
            <w:pPr>
              <w:jc w:val="center"/>
              <w:rPr>
                <w:highlight w:val="yellow"/>
              </w:rPr>
            </w:pPr>
          </w:p>
        </w:tc>
      </w:tr>
      <w:tr w:rsidR="00190CDA" w14:paraId="2D860174" w14:textId="77777777" w:rsidTr="00190CDA">
        <w:tc>
          <w:tcPr>
            <w:tcW w:w="846" w:type="dxa"/>
          </w:tcPr>
          <w:p w14:paraId="1023A567" w14:textId="77777777" w:rsidR="00190CDA" w:rsidRDefault="00190CDA" w:rsidP="00847217">
            <w:pPr>
              <w:jc w:val="center"/>
            </w:pPr>
            <w:r>
              <w:t>7.</w:t>
            </w:r>
          </w:p>
        </w:tc>
        <w:tc>
          <w:tcPr>
            <w:tcW w:w="4678" w:type="dxa"/>
          </w:tcPr>
          <w:p w14:paraId="428D238E" w14:textId="77777777" w:rsidR="00190CDA" w:rsidRDefault="00190CDA" w:rsidP="00847217">
            <w:pPr>
              <w:pStyle w:val="ListParagraph"/>
              <w:ind w:left="0" w:firstLine="0"/>
            </w:pPr>
            <w:r>
              <w:t>Ko išmokau per šiuos metus? Refleksija ir įsivertinimas</w:t>
            </w:r>
          </w:p>
        </w:tc>
        <w:tc>
          <w:tcPr>
            <w:tcW w:w="1842" w:type="dxa"/>
          </w:tcPr>
          <w:p w14:paraId="3B99CED6" w14:textId="77777777" w:rsidR="00190CDA" w:rsidRPr="00190CDA" w:rsidRDefault="00190CDA" w:rsidP="00847217">
            <w:pPr>
              <w:jc w:val="center"/>
            </w:pPr>
            <w:r w:rsidRPr="00190CDA">
              <w:t>1</w:t>
            </w:r>
            <w:bookmarkStart w:id="0" w:name="_GoBack"/>
            <w:bookmarkEnd w:id="0"/>
          </w:p>
        </w:tc>
        <w:tc>
          <w:tcPr>
            <w:tcW w:w="1842" w:type="dxa"/>
          </w:tcPr>
          <w:p w14:paraId="16A0AFD3" w14:textId="77777777" w:rsidR="00190CDA" w:rsidRPr="00986DF1" w:rsidRDefault="00190CDA" w:rsidP="00847217">
            <w:pPr>
              <w:jc w:val="center"/>
              <w:rPr>
                <w:highlight w:val="yellow"/>
              </w:rPr>
            </w:pPr>
          </w:p>
        </w:tc>
      </w:tr>
    </w:tbl>
    <w:p w14:paraId="08F283C7" w14:textId="77777777" w:rsidR="00190CDA" w:rsidRDefault="00190CDA"/>
    <w:sectPr w:rsidR="00190CD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DA"/>
    <w:rsid w:val="000D0839"/>
    <w:rsid w:val="001343FA"/>
    <w:rsid w:val="00190CDA"/>
    <w:rsid w:val="002146DC"/>
    <w:rsid w:val="00546379"/>
    <w:rsid w:val="008F57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0A22"/>
  <w15:chartTrackingRefBased/>
  <w15:docId w15:val="{D2D323BC-62EC-4140-BEFD-E25B741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DA"/>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CDA"/>
    <w:rPr>
      <w:color w:val="0563C1" w:themeColor="hyperlink"/>
      <w:u w:val="single"/>
    </w:rPr>
  </w:style>
  <w:style w:type="paragraph" w:customStyle="1" w:styleId="paragraph">
    <w:name w:val="paragraph"/>
    <w:basedOn w:val="Normal"/>
    <w:rsid w:val="00190CDA"/>
    <w:pPr>
      <w:spacing w:before="100" w:beforeAutospacing="1" w:after="100" w:afterAutospacing="1"/>
    </w:pPr>
    <w:rPr>
      <w:szCs w:val="24"/>
    </w:rPr>
  </w:style>
  <w:style w:type="character" w:customStyle="1" w:styleId="normaltextrun">
    <w:name w:val="normaltextrun"/>
    <w:basedOn w:val="DefaultParagraphFont"/>
    <w:rsid w:val="00190CDA"/>
  </w:style>
  <w:style w:type="character" w:customStyle="1" w:styleId="eop">
    <w:name w:val="eop"/>
    <w:basedOn w:val="DefaultParagraphFont"/>
    <w:rsid w:val="00190CDA"/>
  </w:style>
  <w:style w:type="paragraph" w:styleId="ListParagraph">
    <w:name w:val="List Paragraph"/>
    <w:basedOn w:val="Normal"/>
    <w:uiPriority w:val="34"/>
    <w:qFormat/>
    <w:rsid w:val="00190CDA"/>
    <w:pPr>
      <w:ind w:left="720" w:firstLine="720"/>
      <w:contextualSpacing/>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50ada7b1-6768-4124-a56c-8bd9bba95d1b%7d&amp;action=view&amp;wd=target%286.%20Veikl%C5%B3%20planavimo%20pavyzd%C5%BEiai.one%7C9a3f23dc-563a-4923-bf5a-09d1eff2fea6%2F1%E2%80%932%20klas%C4%97s%7C141f3bd8-c8e7-41c5-ba92-79bd7dfdaace%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19"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FE3F45B2-1537-4039-975E-6F24467FB640}"/>
</file>

<file path=customXml/itemProps2.xml><?xml version="1.0" encoding="utf-8"?>
<ds:datastoreItem xmlns:ds="http://schemas.openxmlformats.org/officeDocument/2006/customXml" ds:itemID="{F3DCEF14-699B-4AA2-B28B-DF742BEAB8D0}">
  <ds:schemaRefs>
    <ds:schemaRef ds:uri="http://schemas.microsoft.com/sharepoint/v3/contenttype/forms"/>
  </ds:schemaRefs>
</ds:datastoreItem>
</file>

<file path=customXml/itemProps3.xml><?xml version="1.0" encoding="utf-8"?>
<ds:datastoreItem xmlns:ds="http://schemas.openxmlformats.org/officeDocument/2006/customXml" ds:itemID="{2ABC3D9C-9AD0-4511-87DA-797BEB72F5CD}">
  <ds:schemaRefs>
    <ds:schemaRef ds:uri="http://schemas.openxmlformats.org/package/2006/metadata/core-properties"/>
    <ds:schemaRef ds:uri="http://purl.org/dc/elements/1.1/"/>
    <ds:schemaRef ds:uri="http://schemas.microsoft.com/office/2006/metadata/properties"/>
    <ds:schemaRef ds:uri="bd2a18c2-06d4-44cd-af38-3237b532008a"/>
    <ds:schemaRef ds:uri="http://purl.org/dc/terms/"/>
    <ds:schemaRef ds:uri="441e4d8e-a8ab-46be-9694-e40af28e9c6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2646</Words>
  <Characters>1509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1</cp:revision>
  <dcterms:created xsi:type="dcterms:W3CDTF">2023-06-05T07:56:00Z</dcterms:created>
  <dcterms:modified xsi:type="dcterms:W3CDTF">2023-06-05T08:02:00Z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