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3A9743AF"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6E4404C5"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D09693C" w14:textId="77777777" w:rsidR="00E371B9" w:rsidRDefault="00E371B9" w:rsidP="00E371B9">
      <w:pPr>
        <w:pStyle w:val="paragraph"/>
        <w:numPr>
          <w:ilvl w:val="0"/>
          <w:numId w:val="2"/>
        </w:numPr>
        <w:spacing w:before="0" w:beforeAutospacing="0" w:after="0" w:afterAutospacing="0"/>
        <w:jc w:val="both"/>
        <w:textAlignment w:val="baseline"/>
        <w:rPr>
          <w:rStyle w:val="normaltextrun"/>
        </w:rPr>
      </w:pPr>
      <w:r>
        <w:rPr>
          <w:rStyle w:val="normaltextrun"/>
        </w:rPr>
        <w:t xml:space="preserve">Stulpelyje </w:t>
      </w:r>
      <w:r>
        <w:rPr>
          <w:rStyle w:val="normaltextrun"/>
          <w:i/>
        </w:rPr>
        <w:t>I</w:t>
      </w:r>
      <w:r>
        <w:rPr>
          <w:rStyle w:val="normaltextrun"/>
          <w:bCs/>
          <w:i/>
        </w:rPr>
        <w:t>ntegravimo su kitais dalykais galimybės</w:t>
      </w:r>
      <w:r>
        <w:rPr>
          <w:rStyle w:val="eop"/>
          <w:shd w:val="clear" w:color="auto" w:fill="FFFFFF"/>
        </w:rPr>
        <w:t> nurodytos galimos integravimo galimybės su kitais dalykais, kuris mokytojas gali pasirinkti pasipildyti savo nuožiūra.</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bookmarkStart w:id="0" w:name="_GoBack"/>
      <w:bookmarkEnd w:id="0"/>
    </w:p>
    <w:p w14:paraId="77247E51" w14:textId="514C4591"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8E4C88">
        <w:rPr>
          <w:rStyle w:val="normaltextrun"/>
          <w:b/>
          <w:bCs/>
        </w:rPr>
        <w:t xml:space="preserve"> TIKYBOS  ILGALAIKIS  PLANAS 3</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992"/>
        <w:gridCol w:w="1276"/>
        <w:gridCol w:w="2126"/>
      </w:tblGrid>
      <w:tr w:rsidR="00E371B9" w14:paraId="10383388" w14:textId="6AE6C51F" w:rsidTr="00E371B9">
        <w:tc>
          <w:tcPr>
            <w:tcW w:w="846" w:type="dxa"/>
          </w:tcPr>
          <w:p w14:paraId="7882664B" w14:textId="77777777" w:rsidR="00E371B9" w:rsidRDefault="00E371B9" w:rsidP="00E371B9">
            <w:pPr>
              <w:jc w:val="both"/>
            </w:pPr>
            <w:r w:rsidRPr="00074F19">
              <w:rPr>
                <w:b/>
              </w:rPr>
              <w:t>EIL. NR.</w:t>
            </w:r>
          </w:p>
        </w:tc>
        <w:tc>
          <w:tcPr>
            <w:tcW w:w="4394" w:type="dxa"/>
          </w:tcPr>
          <w:p w14:paraId="3D9B569D" w14:textId="77777777" w:rsidR="00E371B9" w:rsidRDefault="00E371B9" w:rsidP="00E371B9">
            <w:pPr>
              <w:jc w:val="center"/>
            </w:pPr>
            <w:r>
              <w:rPr>
                <w:b/>
              </w:rPr>
              <w:t>MOKYMOSI TURINIO SRITIS, TEMA</w:t>
            </w:r>
          </w:p>
        </w:tc>
        <w:tc>
          <w:tcPr>
            <w:tcW w:w="992" w:type="dxa"/>
          </w:tcPr>
          <w:p w14:paraId="0B56992F" w14:textId="77777777" w:rsidR="00E371B9" w:rsidRDefault="00E371B9" w:rsidP="00E371B9">
            <w:pPr>
              <w:jc w:val="center"/>
              <w:rPr>
                <w:b/>
              </w:rPr>
            </w:pPr>
            <w:r>
              <w:rPr>
                <w:b/>
              </w:rPr>
              <w:t>70 proc.</w:t>
            </w:r>
          </w:p>
          <w:p w14:paraId="143F52E1" w14:textId="049A9737" w:rsidR="00E371B9" w:rsidRDefault="00E371B9" w:rsidP="00E371B9">
            <w:pPr>
              <w:jc w:val="center"/>
            </w:pPr>
            <w:r>
              <w:rPr>
                <w:b/>
              </w:rPr>
              <w:t xml:space="preserve"> 27 val.</w:t>
            </w:r>
          </w:p>
        </w:tc>
        <w:tc>
          <w:tcPr>
            <w:tcW w:w="1276" w:type="dxa"/>
          </w:tcPr>
          <w:p w14:paraId="5C5B3B0F" w14:textId="77777777" w:rsidR="00E371B9" w:rsidRDefault="00E371B9" w:rsidP="00E371B9">
            <w:pPr>
              <w:jc w:val="center"/>
              <w:rPr>
                <w:b/>
              </w:rPr>
            </w:pPr>
            <w:r>
              <w:rPr>
                <w:b/>
              </w:rPr>
              <w:t>30 proc.</w:t>
            </w:r>
          </w:p>
          <w:p w14:paraId="32F58691" w14:textId="3EE3CC5D" w:rsidR="00E371B9" w:rsidRPr="00074F19" w:rsidRDefault="00E371B9" w:rsidP="00E371B9">
            <w:pPr>
              <w:jc w:val="center"/>
              <w:rPr>
                <w:b/>
              </w:rPr>
            </w:pPr>
            <w:r>
              <w:rPr>
                <w:b/>
              </w:rPr>
              <w:t>8 val.</w:t>
            </w:r>
          </w:p>
        </w:tc>
        <w:tc>
          <w:tcPr>
            <w:tcW w:w="2126" w:type="dxa"/>
          </w:tcPr>
          <w:p w14:paraId="76D1F774" w14:textId="77777777" w:rsidR="00E371B9" w:rsidRDefault="00E371B9" w:rsidP="00E371B9">
            <w:pPr>
              <w:pStyle w:val="paragraph"/>
              <w:spacing w:before="0" w:beforeAutospacing="0" w:after="0" w:afterAutospacing="0"/>
              <w:textAlignment w:val="baseline"/>
              <w:divId w:val="1387333959"/>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 xml:space="preserve">mokiniai skatinami apmąstyti savo kalbinę veiklą (skaitymą, rašymą, </w:t>
            </w:r>
            <w:r>
              <w:rPr>
                <w:rStyle w:val="normaltextrun"/>
                <w:i/>
                <w:iCs/>
                <w:color w:val="000000"/>
              </w:rPr>
              <w:lastRenderedPageBreak/>
              <w:t>kalbėjimą, klausymą)</w:t>
            </w:r>
            <w:r>
              <w:rPr>
                <w:rStyle w:val="eop"/>
                <w:color w:val="000000"/>
              </w:rPr>
              <w:t> </w:t>
            </w:r>
          </w:p>
          <w:p w14:paraId="700F06B6" w14:textId="77777777" w:rsidR="00E371B9" w:rsidRDefault="00E371B9" w:rsidP="00E371B9">
            <w:pPr>
              <w:pStyle w:val="paragraph"/>
              <w:spacing w:before="0" w:beforeAutospacing="0" w:after="0" w:afterAutospacing="0"/>
              <w:textAlignment w:val="baseline"/>
              <w:divId w:val="2139448388"/>
              <w:rPr>
                <w:rFonts w:ascii="Segoe UI" w:hAnsi="Segoe UI" w:cs="Segoe UI"/>
                <w:sz w:val="18"/>
                <w:szCs w:val="18"/>
              </w:rPr>
            </w:pPr>
            <w:r>
              <w:rPr>
                <w:rStyle w:val="normaltextrun"/>
                <w:b/>
                <w:bCs/>
                <w:color w:val="000000"/>
              </w:rPr>
              <w:t>Dailė </w:t>
            </w:r>
            <w:r>
              <w:rPr>
                <w:rStyle w:val="normaltextrun"/>
                <w:color w:val="000000"/>
              </w:rPr>
              <w:t>-</w:t>
            </w:r>
            <w:r>
              <w:rPr>
                <w:rStyle w:val="normaltextrun"/>
                <w:i/>
                <w:iCs/>
                <w:color w:val="000000"/>
              </w:rPr>
              <w:t> </w:t>
            </w:r>
            <w:r>
              <w:rPr>
                <w:rStyle w:val="normaltextrun"/>
                <w:i/>
                <w:iCs/>
              </w:rPr>
              <w:t>asirenka ir taiko jau žinomas dailės technikas, kūrybiškai ir saugiai jomis naudojasi (A2.1.3.)</w:t>
            </w:r>
            <w:r>
              <w:rPr>
                <w:rStyle w:val="eop"/>
              </w:rPr>
              <w:t> </w:t>
            </w:r>
          </w:p>
          <w:p w14:paraId="0B8171C7" w14:textId="77777777" w:rsidR="00E371B9" w:rsidRDefault="00E371B9" w:rsidP="00E371B9">
            <w:pPr>
              <w:pStyle w:val="paragraph"/>
              <w:spacing w:before="0" w:beforeAutospacing="0" w:after="0" w:afterAutospacing="0"/>
              <w:textAlignment w:val="baseline"/>
              <w:divId w:val="468211289"/>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7FF683EE" w14:textId="77777777" w:rsidR="00E371B9" w:rsidRDefault="00E371B9" w:rsidP="00E371B9">
            <w:pPr>
              <w:pStyle w:val="paragraph"/>
              <w:spacing w:before="0" w:beforeAutospacing="0" w:after="0" w:afterAutospacing="0"/>
              <w:textAlignment w:val="baseline"/>
              <w:divId w:val="1224752233"/>
              <w:rPr>
                <w:rFonts w:ascii="Segoe UI" w:hAnsi="Segoe UI" w:cs="Segoe UI"/>
                <w:sz w:val="18"/>
                <w:szCs w:val="18"/>
              </w:rPr>
            </w:pPr>
            <w:r>
              <w:rPr>
                <w:rStyle w:val="normaltextrun"/>
                <w:b/>
                <w:bCs/>
                <w:i/>
                <w:iCs/>
                <w:color w:val="000000"/>
              </w:rPr>
              <w:t>Gyvenimo įgūdžiai</w:t>
            </w:r>
            <w:r>
              <w:rPr>
                <w:rStyle w:val="normaltextrun"/>
                <w:i/>
                <w:iCs/>
                <w:color w:val="000000"/>
              </w:rPr>
              <w:t> </w:t>
            </w:r>
            <w:r>
              <w:rPr>
                <w:rStyle w:val="normaltextrun"/>
                <w:i/>
                <w:iCs/>
              </w:rPr>
              <w:t>, pasakoja apie skirtingų kultūrų bendravimo ypatumus, argumentuoja, kaip skirtingų kultūrų žmonės praturtina vieni kitų gyvenimą. (B3.)</w:t>
            </w:r>
            <w:r>
              <w:rPr>
                <w:rStyle w:val="eop"/>
              </w:rPr>
              <w:t> </w:t>
            </w:r>
          </w:p>
          <w:p w14:paraId="322526E1" w14:textId="2F303AD9" w:rsidR="00E371B9" w:rsidRDefault="00E371B9" w:rsidP="00E371B9">
            <w:pPr>
              <w:jc w:val="center"/>
              <w:rPr>
                <w:b/>
              </w:rPr>
            </w:pPr>
            <w:r>
              <w:rPr>
                <w:rStyle w:val="normaltextrun"/>
                <w:b/>
                <w:bCs/>
                <w:i/>
                <w:iCs/>
              </w:rPr>
              <w:t>Etika</w:t>
            </w:r>
            <w:r>
              <w:rPr>
                <w:rStyle w:val="eop"/>
              </w:rPr>
              <w:t> </w:t>
            </w:r>
          </w:p>
        </w:tc>
      </w:tr>
      <w:tr w:rsidR="00E371B9" w14:paraId="5C1E33EB" w14:textId="546C5732" w:rsidTr="00E371B9">
        <w:tc>
          <w:tcPr>
            <w:tcW w:w="846" w:type="dxa"/>
          </w:tcPr>
          <w:p w14:paraId="571DAD7D" w14:textId="77777777" w:rsidR="00E371B9" w:rsidRDefault="00E371B9" w:rsidP="00E371B9">
            <w:pPr>
              <w:jc w:val="both"/>
            </w:pPr>
            <w:r>
              <w:lastRenderedPageBreak/>
              <w:t>1.</w:t>
            </w:r>
          </w:p>
        </w:tc>
        <w:tc>
          <w:tcPr>
            <w:tcW w:w="4394" w:type="dxa"/>
          </w:tcPr>
          <w:p w14:paraId="28958062" w14:textId="75193524" w:rsidR="00E371B9" w:rsidRDefault="00E371B9" w:rsidP="00E371B9">
            <w:pPr>
              <w:pStyle w:val="ListParagraph"/>
              <w:ind w:left="30" w:firstLine="30"/>
              <w:rPr>
                <w:bCs/>
              </w:rPr>
            </w:pPr>
            <w:r>
              <w:rPr>
                <w:bCs/>
                <w:lang w:eastAsia="en-US"/>
              </w:rPr>
              <w:t>Ko mokysimės šiais metais? Supažindinimas su musulmonų – sunitų tikybos programa, 1 klasės mokymosi turiniu, pasiekimų vertinimo ir įsivertinimo kriterijais.</w:t>
            </w:r>
          </w:p>
        </w:tc>
        <w:tc>
          <w:tcPr>
            <w:tcW w:w="992" w:type="dxa"/>
          </w:tcPr>
          <w:p w14:paraId="0A6AFFA1" w14:textId="412EE6AB" w:rsidR="00E371B9" w:rsidRDefault="00E371B9" w:rsidP="00E371B9">
            <w:pPr>
              <w:jc w:val="center"/>
            </w:pPr>
            <w:r>
              <w:rPr>
                <w:bCs/>
                <w:lang w:eastAsia="en-US"/>
              </w:rPr>
              <w:t>1</w:t>
            </w:r>
          </w:p>
        </w:tc>
        <w:tc>
          <w:tcPr>
            <w:tcW w:w="1276" w:type="dxa"/>
          </w:tcPr>
          <w:p w14:paraId="45DD76AA" w14:textId="77777777" w:rsidR="00E371B9" w:rsidRDefault="00E371B9" w:rsidP="00E371B9">
            <w:pPr>
              <w:jc w:val="center"/>
            </w:pPr>
          </w:p>
        </w:tc>
        <w:tc>
          <w:tcPr>
            <w:tcW w:w="2126" w:type="dxa"/>
          </w:tcPr>
          <w:p w14:paraId="2000F94D" w14:textId="77777777" w:rsidR="00E371B9" w:rsidRDefault="00E371B9" w:rsidP="00E371B9">
            <w:pPr>
              <w:pStyle w:val="paragraph"/>
              <w:spacing w:before="0" w:beforeAutospacing="0" w:after="0" w:afterAutospacing="0"/>
              <w:textAlignment w:val="baseline"/>
              <w:divId w:val="1903906683"/>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6068D178" w14:textId="77777777" w:rsidR="00E371B9" w:rsidRDefault="00E371B9" w:rsidP="00E371B9">
            <w:pPr>
              <w:pStyle w:val="paragraph"/>
              <w:spacing w:before="0" w:beforeAutospacing="0" w:after="0" w:afterAutospacing="0"/>
              <w:textAlignment w:val="baseline"/>
              <w:divId w:val="898245435"/>
              <w:rPr>
                <w:rFonts w:ascii="Segoe UI" w:hAnsi="Segoe UI" w:cs="Segoe UI"/>
                <w:sz w:val="18"/>
                <w:szCs w:val="18"/>
              </w:rPr>
            </w:pPr>
            <w:r>
              <w:rPr>
                <w:rStyle w:val="normaltextrun"/>
                <w:b/>
                <w:bCs/>
                <w:color w:val="000000"/>
              </w:rPr>
              <w:t>Dailė </w:t>
            </w:r>
            <w:r>
              <w:rPr>
                <w:rStyle w:val="normaltextrun"/>
                <w:b/>
                <w:bCs/>
                <w:i/>
                <w:iCs/>
                <w:color w:val="000000"/>
              </w:rPr>
              <w:t> </w:t>
            </w:r>
            <w:r>
              <w:rPr>
                <w:rStyle w:val="normaltextrun"/>
                <w:i/>
                <w:iCs/>
                <w:color w:val="000000"/>
              </w:rPr>
              <w:t>- </w:t>
            </w:r>
            <w:r>
              <w:rPr>
                <w:rStyle w:val="normaltextrun"/>
                <w:i/>
                <w:iCs/>
              </w:rPr>
              <w:t>atsirenka ir taiko jau žinomas dailės technikas, kūrybiškai ir saugiai jomis naudojasi (A2.1.3.)</w:t>
            </w:r>
            <w:r>
              <w:rPr>
                <w:rStyle w:val="eop"/>
              </w:rPr>
              <w:t> </w:t>
            </w:r>
          </w:p>
          <w:p w14:paraId="3038C1E9" w14:textId="77777777" w:rsidR="00E371B9" w:rsidRDefault="00E371B9" w:rsidP="00E371B9">
            <w:pPr>
              <w:pStyle w:val="paragraph"/>
              <w:spacing w:before="0" w:beforeAutospacing="0" w:after="0" w:afterAutospacing="0"/>
              <w:textAlignment w:val="baseline"/>
              <w:divId w:val="386686622"/>
              <w:rPr>
                <w:rFonts w:ascii="Segoe UI" w:hAnsi="Segoe UI" w:cs="Segoe UI"/>
                <w:sz w:val="18"/>
                <w:szCs w:val="18"/>
              </w:rPr>
            </w:pPr>
            <w:r>
              <w:rPr>
                <w:rStyle w:val="normaltextrun"/>
                <w:i/>
                <w:iCs/>
                <w:color w:val="000000"/>
              </w:rPr>
              <w:t>.</w:t>
            </w:r>
            <w:r>
              <w:rPr>
                <w:rStyle w:val="eop"/>
                <w:color w:val="000000"/>
              </w:rPr>
              <w:t> </w:t>
            </w:r>
          </w:p>
          <w:p w14:paraId="0C73CEE8" w14:textId="77777777" w:rsidR="00E371B9" w:rsidRDefault="00E371B9" w:rsidP="00E371B9">
            <w:pPr>
              <w:pStyle w:val="paragraph"/>
              <w:spacing w:before="0" w:beforeAutospacing="0" w:after="0" w:afterAutospacing="0"/>
              <w:textAlignment w:val="baseline"/>
              <w:divId w:val="54161949"/>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5B59ECEF" w14:textId="51D543CA" w:rsidR="00E371B9" w:rsidRDefault="00E371B9" w:rsidP="00E371B9">
            <w:pPr>
              <w:jc w:val="center"/>
            </w:pPr>
            <w:r>
              <w:rPr>
                <w:rStyle w:val="normaltextrun"/>
              </w:rPr>
              <w:t> </w:t>
            </w:r>
            <w:r>
              <w:rPr>
                <w:rStyle w:val="eop"/>
              </w:rPr>
              <w:t> </w:t>
            </w:r>
          </w:p>
        </w:tc>
      </w:tr>
      <w:tr w:rsidR="00E371B9" w14:paraId="1E1E6693" w14:textId="2F756232" w:rsidTr="00E371B9">
        <w:tc>
          <w:tcPr>
            <w:tcW w:w="846" w:type="dxa"/>
          </w:tcPr>
          <w:p w14:paraId="0DBAA840" w14:textId="77777777" w:rsidR="00E371B9" w:rsidRDefault="00E371B9" w:rsidP="00E371B9">
            <w:pPr>
              <w:jc w:val="both"/>
            </w:pPr>
            <w:r>
              <w:lastRenderedPageBreak/>
              <w:t>2.</w:t>
            </w:r>
          </w:p>
        </w:tc>
        <w:tc>
          <w:tcPr>
            <w:tcW w:w="4394" w:type="dxa"/>
          </w:tcPr>
          <w:p w14:paraId="62ABA8A8" w14:textId="77777777" w:rsidR="00E371B9" w:rsidRDefault="00E371B9" w:rsidP="00E371B9">
            <w:pPr>
              <w:spacing w:line="256" w:lineRule="auto"/>
              <w:ind w:firstLine="30"/>
              <w:jc w:val="both"/>
              <w:rPr>
                <w:bCs/>
                <w:color w:val="000000"/>
                <w:lang w:eastAsia="en-US"/>
              </w:rPr>
            </w:pPr>
            <w:r>
              <w:rPr>
                <w:bCs/>
                <w:color w:val="000000"/>
                <w:lang w:eastAsia="en-US"/>
              </w:rPr>
              <w:t>26.1. Šventraščio  pažinimas:</w:t>
            </w:r>
          </w:p>
          <w:p w14:paraId="58C56C9D" w14:textId="77777777" w:rsidR="00E371B9" w:rsidRDefault="00E371B9" w:rsidP="00E371B9">
            <w:pPr>
              <w:spacing w:line="256" w:lineRule="auto"/>
              <w:ind w:firstLine="30"/>
              <w:jc w:val="both"/>
              <w:rPr>
                <w:bCs/>
                <w:color w:val="000000"/>
                <w:lang w:eastAsia="en-US"/>
              </w:rPr>
            </w:pPr>
            <w:r>
              <w:rPr>
                <w:bCs/>
                <w:color w:val="000000"/>
                <w:lang w:eastAsia="en-US"/>
              </w:rPr>
              <w:t>26.1.1.</w:t>
            </w:r>
            <w:r>
              <w:rPr>
                <w:bCs/>
                <w:color w:val="000000"/>
                <w:lang w:eastAsia="en-US"/>
              </w:rPr>
              <w:tab/>
              <w:t xml:space="preserve">Sūra Ar-Rahman. </w:t>
            </w:r>
          </w:p>
          <w:p w14:paraId="2009700D" w14:textId="28E49861" w:rsidR="00E371B9" w:rsidRDefault="00E371B9" w:rsidP="00E371B9">
            <w:pPr>
              <w:spacing w:line="256" w:lineRule="auto"/>
              <w:ind w:firstLine="30"/>
              <w:jc w:val="both"/>
              <w:rPr>
                <w:noProof/>
                <w:lang w:eastAsia="en-US"/>
              </w:rPr>
            </w:pPr>
            <w:r>
              <w:rPr>
                <w:bCs/>
                <w:color w:val="000000"/>
                <w:lang w:eastAsia="en-US"/>
              </w:rPr>
              <w:t>26.1.2.</w:t>
            </w:r>
            <w:r>
              <w:rPr>
                <w:bCs/>
                <w:color w:val="000000"/>
                <w:lang w:eastAsia="en-US"/>
              </w:rPr>
              <w:tab/>
              <w:t xml:space="preserve">Haraket ženklai.  </w:t>
            </w:r>
          </w:p>
        </w:tc>
        <w:tc>
          <w:tcPr>
            <w:tcW w:w="992" w:type="dxa"/>
          </w:tcPr>
          <w:p w14:paraId="251C55C0" w14:textId="5F9E679C" w:rsidR="00E371B9" w:rsidRDefault="00E371B9" w:rsidP="00E371B9">
            <w:pPr>
              <w:jc w:val="center"/>
            </w:pPr>
            <w:r>
              <w:rPr>
                <w:bCs/>
                <w:lang w:eastAsia="en-US"/>
              </w:rPr>
              <w:t>5</w:t>
            </w:r>
          </w:p>
        </w:tc>
        <w:tc>
          <w:tcPr>
            <w:tcW w:w="1276" w:type="dxa"/>
          </w:tcPr>
          <w:p w14:paraId="4B1274FA" w14:textId="77777777" w:rsidR="00E371B9" w:rsidRDefault="00E371B9" w:rsidP="00E371B9">
            <w:pPr>
              <w:jc w:val="center"/>
            </w:pPr>
          </w:p>
        </w:tc>
        <w:tc>
          <w:tcPr>
            <w:tcW w:w="2126" w:type="dxa"/>
          </w:tcPr>
          <w:p w14:paraId="13DFD0BD" w14:textId="77777777" w:rsidR="00E371B9" w:rsidRDefault="00E371B9" w:rsidP="00E371B9">
            <w:pPr>
              <w:pStyle w:val="paragraph"/>
              <w:spacing w:before="0" w:beforeAutospacing="0" w:after="0" w:afterAutospacing="0"/>
              <w:textAlignment w:val="baseline"/>
              <w:divId w:val="1387333959"/>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0C57A56D" w14:textId="77777777" w:rsidR="00E371B9" w:rsidRDefault="00E371B9" w:rsidP="00E371B9">
            <w:pPr>
              <w:pStyle w:val="paragraph"/>
              <w:spacing w:before="0" w:beforeAutospacing="0" w:after="0" w:afterAutospacing="0"/>
              <w:textAlignment w:val="baseline"/>
              <w:divId w:val="2139448388"/>
              <w:rPr>
                <w:rFonts w:ascii="Segoe UI" w:hAnsi="Segoe UI" w:cs="Segoe UI"/>
                <w:sz w:val="18"/>
                <w:szCs w:val="18"/>
              </w:rPr>
            </w:pPr>
            <w:r>
              <w:rPr>
                <w:rStyle w:val="normaltextrun"/>
                <w:b/>
                <w:bCs/>
                <w:color w:val="000000"/>
              </w:rPr>
              <w:t>Dailė </w:t>
            </w:r>
            <w:r>
              <w:rPr>
                <w:rStyle w:val="normaltextrun"/>
                <w:color w:val="000000"/>
              </w:rPr>
              <w:t>-</w:t>
            </w:r>
            <w:r>
              <w:rPr>
                <w:rStyle w:val="normaltextrun"/>
                <w:i/>
                <w:iCs/>
                <w:color w:val="000000"/>
              </w:rPr>
              <w:t> </w:t>
            </w:r>
            <w:r>
              <w:rPr>
                <w:rStyle w:val="normaltextrun"/>
                <w:i/>
                <w:iCs/>
              </w:rPr>
              <w:t>asirenka ir taiko jau žinomas dailės technikas, kūrybiškai ir saugiai jomis naudojasi (A2.1.3.)</w:t>
            </w:r>
            <w:r>
              <w:rPr>
                <w:rStyle w:val="eop"/>
              </w:rPr>
              <w:t> </w:t>
            </w:r>
          </w:p>
          <w:p w14:paraId="1971F402" w14:textId="77777777" w:rsidR="00E371B9" w:rsidRDefault="00E371B9" w:rsidP="00E371B9">
            <w:pPr>
              <w:pStyle w:val="paragraph"/>
              <w:spacing w:before="0" w:beforeAutospacing="0" w:after="0" w:afterAutospacing="0"/>
              <w:textAlignment w:val="baseline"/>
              <w:divId w:val="468211289"/>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43AAA70D" w14:textId="77777777" w:rsidR="00E371B9" w:rsidRDefault="00E371B9" w:rsidP="00E371B9">
            <w:pPr>
              <w:pStyle w:val="paragraph"/>
              <w:spacing w:before="0" w:beforeAutospacing="0" w:after="0" w:afterAutospacing="0"/>
              <w:textAlignment w:val="baseline"/>
              <w:divId w:val="1224752233"/>
              <w:rPr>
                <w:rFonts w:ascii="Segoe UI" w:hAnsi="Segoe UI" w:cs="Segoe UI"/>
                <w:sz w:val="18"/>
                <w:szCs w:val="18"/>
              </w:rPr>
            </w:pPr>
            <w:r>
              <w:rPr>
                <w:rStyle w:val="normaltextrun"/>
                <w:b/>
                <w:bCs/>
                <w:i/>
                <w:iCs/>
                <w:color w:val="000000"/>
              </w:rPr>
              <w:t>Gyvenimo įgūdžiai</w:t>
            </w:r>
            <w:r>
              <w:rPr>
                <w:rStyle w:val="normaltextrun"/>
                <w:i/>
                <w:iCs/>
                <w:color w:val="000000"/>
              </w:rPr>
              <w:t> </w:t>
            </w:r>
            <w:r>
              <w:rPr>
                <w:rStyle w:val="normaltextrun"/>
                <w:i/>
                <w:iCs/>
              </w:rPr>
              <w:t>, pasakoja apie skirtingų kultūrų bendravimo ypatumus, argumentuoja, kaip skirtingų kultūrų žmonės praturtina vieni kitų gyvenimą. (B3.)</w:t>
            </w:r>
            <w:r>
              <w:rPr>
                <w:rStyle w:val="eop"/>
              </w:rPr>
              <w:t> </w:t>
            </w:r>
          </w:p>
          <w:p w14:paraId="4544F4A0" w14:textId="04D76BA7" w:rsidR="00E371B9" w:rsidRDefault="00E371B9" w:rsidP="00E371B9">
            <w:pPr>
              <w:jc w:val="center"/>
            </w:pPr>
            <w:r>
              <w:rPr>
                <w:rStyle w:val="normaltextrun"/>
                <w:b/>
                <w:bCs/>
                <w:i/>
                <w:iCs/>
              </w:rPr>
              <w:t>Etika</w:t>
            </w:r>
            <w:r>
              <w:rPr>
                <w:rStyle w:val="eop"/>
              </w:rPr>
              <w:t> </w:t>
            </w:r>
          </w:p>
        </w:tc>
      </w:tr>
      <w:tr w:rsidR="00E371B9" w14:paraId="3328F8B8" w14:textId="03D8B4B9" w:rsidTr="00E371B9">
        <w:tc>
          <w:tcPr>
            <w:tcW w:w="846" w:type="dxa"/>
          </w:tcPr>
          <w:p w14:paraId="0F51E162" w14:textId="72964B21" w:rsidR="00E371B9" w:rsidRDefault="00E371B9" w:rsidP="00E371B9">
            <w:pPr>
              <w:jc w:val="both"/>
            </w:pPr>
            <w:r>
              <w:t>3.</w:t>
            </w:r>
          </w:p>
        </w:tc>
        <w:tc>
          <w:tcPr>
            <w:tcW w:w="4394" w:type="dxa"/>
          </w:tcPr>
          <w:p w14:paraId="55773A5B" w14:textId="77777777" w:rsidR="00E371B9" w:rsidRDefault="00E371B9" w:rsidP="00E371B9">
            <w:pPr>
              <w:spacing w:line="256" w:lineRule="auto"/>
              <w:ind w:firstLine="30"/>
              <w:rPr>
                <w:bCs/>
                <w:color w:val="000000"/>
                <w:lang w:eastAsia="en-US"/>
              </w:rPr>
            </w:pPr>
            <w:r>
              <w:rPr>
                <w:bCs/>
                <w:color w:val="000000"/>
                <w:lang w:eastAsia="en-US"/>
              </w:rPr>
              <w:t xml:space="preserve">26.2. </w:t>
            </w:r>
            <w:r>
              <w:rPr>
                <w:bCs/>
                <w:lang w:eastAsia="en-US"/>
              </w:rPr>
              <w:t>Pranašo Suna ir jo mokymo pažinimas</w:t>
            </w:r>
            <w:r>
              <w:rPr>
                <w:bCs/>
                <w:color w:val="000000"/>
                <w:lang w:eastAsia="en-US"/>
              </w:rPr>
              <w:t>:</w:t>
            </w:r>
          </w:p>
          <w:p w14:paraId="5A06A3A7" w14:textId="7C64076E" w:rsidR="00E371B9" w:rsidRDefault="00E371B9" w:rsidP="00E371B9">
            <w:pPr>
              <w:spacing w:line="256" w:lineRule="auto"/>
              <w:ind w:firstLine="30"/>
              <w:rPr>
                <w:bCs/>
                <w:color w:val="000000"/>
                <w:lang w:eastAsia="en-US"/>
              </w:rPr>
            </w:pPr>
            <w:r>
              <w:rPr>
                <w:bCs/>
                <w:color w:val="000000"/>
                <w:lang w:eastAsia="en-US"/>
              </w:rPr>
              <w:t xml:space="preserve">26.2.1. Žmogus – Dievo kūrinys. </w:t>
            </w:r>
          </w:p>
          <w:p w14:paraId="25FEEF0D" w14:textId="79736422" w:rsidR="00E371B9" w:rsidRDefault="00E371B9" w:rsidP="00E371B9">
            <w:pPr>
              <w:pStyle w:val="ListParagraph"/>
              <w:spacing w:line="256" w:lineRule="auto"/>
              <w:ind w:left="0" w:firstLine="30"/>
              <w:rPr>
                <w:lang w:eastAsia="en-US"/>
              </w:rPr>
            </w:pPr>
            <w:r>
              <w:rPr>
                <w:bCs/>
                <w:color w:val="000000"/>
                <w:lang w:eastAsia="en-US"/>
              </w:rPr>
              <w:t xml:space="preserve">26.2.2. Pranašo Mahometo vaikystė. </w:t>
            </w:r>
          </w:p>
        </w:tc>
        <w:tc>
          <w:tcPr>
            <w:tcW w:w="992" w:type="dxa"/>
          </w:tcPr>
          <w:p w14:paraId="40259FB6" w14:textId="693A28EB" w:rsidR="00E371B9" w:rsidRDefault="00E371B9" w:rsidP="00E371B9">
            <w:pPr>
              <w:jc w:val="center"/>
            </w:pPr>
            <w:r>
              <w:rPr>
                <w:bCs/>
                <w:lang w:eastAsia="en-US"/>
              </w:rPr>
              <w:t>5</w:t>
            </w:r>
          </w:p>
        </w:tc>
        <w:tc>
          <w:tcPr>
            <w:tcW w:w="1276" w:type="dxa"/>
          </w:tcPr>
          <w:p w14:paraId="7E6CE8B9" w14:textId="77777777" w:rsidR="00E371B9" w:rsidRDefault="00E371B9" w:rsidP="00E371B9">
            <w:pPr>
              <w:jc w:val="center"/>
            </w:pPr>
          </w:p>
        </w:tc>
        <w:tc>
          <w:tcPr>
            <w:tcW w:w="2126" w:type="dxa"/>
          </w:tcPr>
          <w:p w14:paraId="3CFAF852" w14:textId="77777777" w:rsidR="00E371B9" w:rsidRDefault="00E371B9" w:rsidP="00E371B9">
            <w:pPr>
              <w:pStyle w:val="paragraph"/>
              <w:spacing w:before="0" w:beforeAutospacing="0" w:after="0" w:afterAutospacing="0"/>
              <w:textAlignment w:val="baseline"/>
              <w:divId w:val="1903906683"/>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0315412D" w14:textId="77777777" w:rsidR="00E371B9" w:rsidRDefault="00E371B9" w:rsidP="00E371B9">
            <w:pPr>
              <w:pStyle w:val="paragraph"/>
              <w:spacing w:before="0" w:beforeAutospacing="0" w:after="0" w:afterAutospacing="0"/>
              <w:textAlignment w:val="baseline"/>
              <w:divId w:val="898245435"/>
              <w:rPr>
                <w:rFonts w:ascii="Segoe UI" w:hAnsi="Segoe UI" w:cs="Segoe UI"/>
                <w:sz w:val="18"/>
                <w:szCs w:val="18"/>
              </w:rPr>
            </w:pPr>
            <w:r>
              <w:rPr>
                <w:rStyle w:val="normaltextrun"/>
                <w:b/>
                <w:bCs/>
                <w:color w:val="000000"/>
              </w:rPr>
              <w:t>Dailė </w:t>
            </w:r>
            <w:r>
              <w:rPr>
                <w:rStyle w:val="normaltextrun"/>
                <w:b/>
                <w:bCs/>
                <w:i/>
                <w:iCs/>
                <w:color w:val="000000"/>
              </w:rPr>
              <w:t> </w:t>
            </w:r>
            <w:r>
              <w:rPr>
                <w:rStyle w:val="normaltextrun"/>
                <w:i/>
                <w:iCs/>
                <w:color w:val="000000"/>
              </w:rPr>
              <w:t>- </w:t>
            </w:r>
            <w:r>
              <w:rPr>
                <w:rStyle w:val="normaltextrun"/>
                <w:i/>
                <w:iCs/>
              </w:rPr>
              <w:t>atsirenka ir taiko jau žinomas dailės technikas, kūrybiškai ir saugiai jomis naudojasi (A2.1.3.)</w:t>
            </w:r>
            <w:r>
              <w:rPr>
                <w:rStyle w:val="eop"/>
              </w:rPr>
              <w:t> </w:t>
            </w:r>
          </w:p>
          <w:p w14:paraId="61721797" w14:textId="77777777" w:rsidR="00E371B9" w:rsidRDefault="00E371B9" w:rsidP="00E371B9">
            <w:pPr>
              <w:pStyle w:val="paragraph"/>
              <w:spacing w:before="0" w:beforeAutospacing="0" w:after="0" w:afterAutospacing="0"/>
              <w:textAlignment w:val="baseline"/>
              <w:divId w:val="386686622"/>
              <w:rPr>
                <w:rFonts w:ascii="Segoe UI" w:hAnsi="Segoe UI" w:cs="Segoe UI"/>
                <w:sz w:val="18"/>
                <w:szCs w:val="18"/>
              </w:rPr>
            </w:pPr>
            <w:r>
              <w:rPr>
                <w:rStyle w:val="normaltextrun"/>
                <w:i/>
                <w:iCs/>
                <w:color w:val="000000"/>
              </w:rPr>
              <w:t>.</w:t>
            </w:r>
            <w:r>
              <w:rPr>
                <w:rStyle w:val="eop"/>
                <w:color w:val="000000"/>
              </w:rPr>
              <w:t> </w:t>
            </w:r>
          </w:p>
          <w:p w14:paraId="70FFD731" w14:textId="77777777" w:rsidR="00E371B9" w:rsidRDefault="00E371B9" w:rsidP="00E371B9">
            <w:pPr>
              <w:pStyle w:val="paragraph"/>
              <w:spacing w:before="0" w:beforeAutospacing="0" w:after="0" w:afterAutospacing="0"/>
              <w:textAlignment w:val="baseline"/>
              <w:divId w:val="54161949"/>
              <w:rPr>
                <w:rFonts w:ascii="Segoe UI" w:hAnsi="Segoe UI" w:cs="Segoe UI"/>
                <w:sz w:val="18"/>
                <w:szCs w:val="18"/>
              </w:rPr>
            </w:pPr>
            <w:r>
              <w:rPr>
                <w:rStyle w:val="normaltextrun"/>
                <w:b/>
                <w:bCs/>
              </w:rPr>
              <w:t>Informatika</w:t>
            </w:r>
            <w:r>
              <w:rPr>
                <w:rStyle w:val="normaltextrun"/>
              </w:rPr>
              <w:t>:</w:t>
            </w:r>
            <w:r>
              <w:rPr>
                <w:rStyle w:val="normaltextrun"/>
                <w:i/>
                <w:iCs/>
              </w:rPr>
              <w:t xml:space="preserve"> Kuria įvairų </w:t>
            </w:r>
            <w:r>
              <w:rPr>
                <w:rStyle w:val="normaltextrun"/>
                <w:i/>
                <w:iCs/>
              </w:rPr>
              <w:lastRenderedPageBreak/>
              <w:t>skaitmeninį turinį: piešia, rašo, fotografuoja, filmuoja. A2.3.</w:t>
            </w:r>
            <w:r>
              <w:rPr>
                <w:rStyle w:val="eop"/>
              </w:rPr>
              <w:t> </w:t>
            </w:r>
          </w:p>
          <w:p w14:paraId="2B99C5E5" w14:textId="21EF73C1" w:rsidR="00E371B9" w:rsidRDefault="00E371B9" w:rsidP="00E371B9">
            <w:pPr>
              <w:jc w:val="center"/>
            </w:pPr>
            <w:r>
              <w:rPr>
                <w:rStyle w:val="normaltextrun"/>
              </w:rPr>
              <w:t> </w:t>
            </w:r>
            <w:r>
              <w:rPr>
                <w:rStyle w:val="eop"/>
              </w:rPr>
              <w:t> </w:t>
            </w:r>
          </w:p>
        </w:tc>
      </w:tr>
      <w:tr w:rsidR="00E371B9" w14:paraId="31371718" w14:textId="3486E9D2" w:rsidTr="00E371B9">
        <w:tc>
          <w:tcPr>
            <w:tcW w:w="846" w:type="dxa"/>
          </w:tcPr>
          <w:p w14:paraId="45DA79E5" w14:textId="5D36FDAB" w:rsidR="00E371B9" w:rsidRDefault="00E371B9" w:rsidP="00E371B9">
            <w:pPr>
              <w:jc w:val="both"/>
            </w:pPr>
            <w:r>
              <w:lastRenderedPageBreak/>
              <w:t>4.</w:t>
            </w:r>
          </w:p>
        </w:tc>
        <w:tc>
          <w:tcPr>
            <w:tcW w:w="4394" w:type="dxa"/>
          </w:tcPr>
          <w:p w14:paraId="59167E42" w14:textId="77777777" w:rsidR="00E371B9" w:rsidRDefault="00E371B9" w:rsidP="00E371B9">
            <w:pPr>
              <w:spacing w:line="256" w:lineRule="auto"/>
              <w:ind w:firstLine="30"/>
              <w:rPr>
                <w:bCs/>
                <w:color w:val="000000"/>
                <w:lang w:eastAsia="en-US"/>
              </w:rPr>
            </w:pPr>
            <w:r>
              <w:rPr>
                <w:bCs/>
                <w:color w:val="000000"/>
                <w:lang w:eastAsia="en-US"/>
              </w:rPr>
              <w:t xml:space="preserve">26.3. Bendruomenė ir malda: </w:t>
            </w:r>
          </w:p>
          <w:p w14:paraId="4EF68BAF" w14:textId="435CF3C5" w:rsidR="00E371B9" w:rsidRDefault="00E371B9" w:rsidP="00E371B9">
            <w:pPr>
              <w:spacing w:line="256" w:lineRule="auto"/>
              <w:ind w:firstLine="30"/>
              <w:rPr>
                <w:bCs/>
                <w:color w:val="000000"/>
                <w:lang w:eastAsia="en-US"/>
              </w:rPr>
            </w:pPr>
            <w:r>
              <w:rPr>
                <w:bCs/>
                <w:color w:val="000000"/>
                <w:lang w:eastAsia="en-US"/>
              </w:rPr>
              <w:t>26.3.1. Kasdienių maldų svarba musulmono gyvenime.</w:t>
            </w:r>
          </w:p>
          <w:p w14:paraId="64515D05" w14:textId="60009BEA" w:rsidR="00E371B9" w:rsidRDefault="00E371B9" w:rsidP="00E371B9">
            <w:pPr>
              <w:pStyle w:val="ListParagraph"/>
              <w:spacing w:line="256" w:lineRule="auto"/>
              <w:ind w:left="30" w:firstLine="30"/>
              <w:rPr>
                <w:lang w:eastAsia="en-US"/>
              </w:rPr>
            </w:pPr>
            <w:r>
              <w:rPr>
                <w:bCs/>
                <w:color w:val="000000"/>
                <w:lang w:eastAsia="en-US"/>
              </w:rPr>
              <w:t xml:space="preserve">26.3.2. Mečetė. Pagarba maldos namų šventumui. </w:t>
            </w:r>
          </w:p>
        </w:tc>
        <w:tc>
          <w:tcPr>
            <w:tcW w:w="992" w:type="dxa"/>
          </w:tcPr>
          <w:p w14:paraId="2E03E56F" w14:textId="0470E1DD" w:rsidR="00E371B9" w:rsidRPr="003E3776" w:rsidRDefault="00E371B9" w:rsidP="00E371B9">
            <w:pPr>
              <w:jc w:val="center"/>
            </w:pPr>
            <w:r>
              <w:rPr>
                <w:bCs/>
                <w:lang w:eastAsia="en-US"/>
              </w:rPr>
              <w:t>5</w:t>
            </w:r>
          </w:p>
        </w:tc>
        <w:tc>
          <w:tcPr>
            <w:tcW w:w="1276" w:type="dxa"/>
          </w:tcPr>
          <w:p w14:paraId="6685AC7D" w14:textId="77777777" w:rsidR="00E371B9" w:rsidRDefault="00E371B9" w:rsidP="00E371B9">
            <w:pPr>
              <w:jc w:val="center"/>
            </w:pPr>
          </w:p>
        </w:tc>
        <w:tc>
          <w:tcPr>
            <w:tcW w:w="2126" w:type="dxa"/>
          </w:tcPr>
          <w:p w14:paraId="643F986F" w14:textId="77777777" w:rsidR="00E371B9" w:rsidRDefault="00E371B9" w:rsidP="00E371B9">
            <w:pPr>
              <w:pStyle w:val="paragraph"/>
              <w:spacing w:before="0" w:beforeAutospacing="0" w:after="0" w:afterAutospacing="0"/>
              <w:textAlignment w:val="baseline"/>
              <w:divId w:val="1387333959"/>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76C7CE89" w14:textId="77777777" w:rsidR="00E371B9" w:rsidRDefault="00E371B9" w:rsidP="00E371B9">
            <w:pPr>
              <w:pStyle w:val="paragraph"/>
              <w:spacing w:before="0" w:beforeAutospacing="0" w:after="0" w:afterAutospacing="0"/>
              <w:textAlignment w:val="baseline"/>
              <w:divId w:val="2139448388"/>
              <w:rPr>
                <w:rFonts w:ascii="Segoe UI" w:hAnsi="Segoe UI" w:cs="Segoe UI"/>
                <w:sz w:val="18"/>
                <w:szCs w:val="18"/>
              </w:rPr>
            </w:pPr>
            <w:r>
              <w:rPr>
                <w:rStyle w:val="normaltextrun"/>
                <w:b/>
                <w:bCs/>
                <w:color w:val="000000"/>
              </w:rPr>
              <w:t>Dailė </w:t>
            </w:r>
            <w:r>
              <w:rPr>
                <w:rStyle w:val="normaltextrun"/>
                <w:color w:val="000000"/>
              </w:rPr>
              <w:t>-</w:t>
            </w:r>
            <w:r>
              <w:rPr>
                <w:rStyle w:val="normaltextrun"/>
                <w:i/>
                <w:iCs/>
                <w:color w:val="000000"/>
              </w:rPr>
              <w:t> </w:t>
            </w:r>
            <w:r>
              <w:rPr>
                <w:rStyle w:val="normaltextrun"/>
                <w:i/>
                <w:iCs/>
              </w:rPr>
              <w:t>asirenka ir taiko jau žinomas dailės technikas, kūrybiškai ir saugiai jomis naudojasi (A2.1.3.)</w:t>
            </w:r>
            <w:r>
              <w:rPr>
                <w:rStyle w:val="eop"/>
              </w:rPr>
              <w:t> </w:t>
            </w:r>
          </w:p>
          <w:p w14:paraId="6A4B5368" w14:textId="77777777" w:rsidR="00E371B9" w:rsidRDefault="00E371B9" w:rsidP="00E371B9">
            <w:pPr>
              <w:pStyle w:val="paragraph"/>
              <w:spacing w:before="0" w:beforeAutospacing="0" w:after="0" w:afterAutospacing="0"/>
              <w:textAlignment w:val="baseline"/>
              <w:divId w:val="468211289"/>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66CB9D83" w14:textId="77777777" w:rsidR="00E371B9" w:rsidRDefault="00E371B9" w:rsidP="00E371B9">
            <w:pPr>
              <w:pStyle w:val="paragraph"/>
              <w:spacing w:before="0" w:beforeAutospacing="0" w:after="0" w:afterAutospacing="0"/>
              <w:textAlignment w:val="baseline"/>
              <w:divId w:val="1224752233"/>
              <w:rPr>
                <w:rFonts w:ascii="Segoe UI" w:hAnsi="Segoe UI" w:cs="Segoe UI"/>
                <w:sz w:val="18"/>
                <w:szCs w:val="18"/>
              </w:rPr>
            </w:pPr>
            <w:r>
              <w:rPr>
                <w:rStyle w:val="normaltextrun"/>
                <w:b/>
                <w:bCs/>
                <w:i/>
                <w:iCs/>
                <w:color w:val="000000"/>
              </w:rPr>
              <w:t>Gyvenimo įgūdžiai</w:t>
            </w:r>
            <w:r>
              <w:rPr>
                <w:rStyle w:val="normaltextrun"/>
                <w:i/>
                <w:iCs/>
                <w:color w:val="000000"/>
              </w:rPr>
              <w:t> </w:t>
            </w:r>
            <w:r>
              <w:rPr>
                <w:rStyle w:val="normaltextrun"/>
                <w:i/>
                <w:iCs/>
              </w:rPr>
              <w:t>, pasakoja apie skirtingų kultūrų bendravimo ypatumus, argumentuoja, kaip skirtingų kultūrų žmonės praturtina vieni kitų gyvenimą. (B3.)</w:t>
            </w:r>
            <w:r>
              <w:rPr>
                <w:rStyle w:val="eop"/>
              </w:rPr>
              <w:t> </w:t>
            </w:r>
          </w:p>
          <w:p w14:paraId="36C4F16F" w14:textId="2C669789" w:rsidR="00E371B9" w:rsidRDefault="00E371B9" w:rsidP="00E371B9">
            <w:pPr>
              <w:jc w:val="center"/>
            </w:pPr>
            <w:r>
              <w:rPr>
                <w:rStyle w:val="normaltextrun"/>
                <w:b/>
                <w:bCs/>
                <w:i/>
                <w:iCs/>
              </w:rPr>
              <w:t>Etika</w:t>
            </w:r>
            <w:r>
              <w:rPr>
                <w:rStyle w:val="eop"/>
              </w:rPr>
              <w:t> </w:t>
            </w:r>
          </w:p>
        </w:tc>
      </w:tr>
      <w:tr w:rsidR="00E371B9" w14:paraId="2ECA438B" w14:textId="0AA307D7" w:rsidTr="00E371B9">
        <w:tc>
          <w:tcPr>
            <w:tcW w:w="846" w:type="dxa"/>
          </w:tcPr>
          <w:p w14:paraId="297DCBD6" w14:textId="1D0B0634" w:rsidR="00E371B9" w:rsidRDefault="00E371B9" w:rsidP="00E371B9">
            <w:pPr>
              <w:jc w:val="both"/>
            </w:pPr>
            <w:r>
              <w:t>5.</w:t>
            </w:r>
          </w:p>
        </w:tc>
        <w:tc>
          <w:tcPr>
            <w:tcW w:w="4394" w:type="dxa"/>
          </w:tcPr>
          <w:p w14:paraId="4388FBF9" w14:textId="77777777" w:rsidR="00E371B9" w:rsidRDefault="00E371B9" w:rsidP="00E371B9">
            <w:pPr>
              <w:spacing w:line="256" w:lineRule="auto"/>
              <w:ind w:firstLine="30"/>
              <w:rPr>
                <w:bCs/>
                <w:color w:val="000000"/>
                <w:lang w:eastAsia="en-US"/>
              </w:rPr>
            </w:pPr>
            <w:r>
              <w:rPr>
                <w:bCs/>
                <w:color w:val="000000"/>
                <w:lang w:eastAsia="en-US"/>
              </w:rPr>
              <w:t xml:space="preserve">26.4. Asmens tobulėjimas ir visuomenė:   </w:t>
            </w:r>
          </w:p>
          <w:p w14:paraId="79375925" w14:textId="722DDF3E" w:rsidR="00E371B9" w:rsidRDefault="00E371B9" w:rsidP="00E371B9">
            <w:pPr>
              <w:spacing w:line="256" w:lineRule="auto"/>
              <w:ind w:firstLine="30"/>
              <w:rPr>
                <w:bCs/>
                <w:color w:val="000000"/>
                <w:lang w:eastAsia="en-US"/>
              </w:rPr>
            </w:pPr>
            <w:r>
              <w:rPr>
                <w:bCs/>
                <w:color w:val="000000"/>
                <w:lang w:eastAsia="en-US"/>
              </w:rPr>
              <w:t xml:space="preserve">26.4.1. Vaidmuo šeimoje.  </w:t>
            </w:r>
          </w:p>
          <w:p w14:paraId="5B63CA8A" w14:textId="77777777" w:rsidR="00E371B9" w:rsidRDefault="00E371B9" w:rsidP="00E371B9">
            <w:pPr>
              <w:spacing w:line="256" w:lineRule="auto"/>
              <w:ind w:firstLine="30"/>
              <w:rPr>
                <w:bCs/>
                <w:color w:val="000000"/>
                <w:lang w:eastAsia="en-US"/>
              </w:rPr>
            </w:pPr>
            <w:r>
              <w:rPr>
                <w:bCs/>
                <w:color w:val="000000"/>
                <w:lang w:eastAsia="en-US"/>
              </w:rPr>
              <w:t>26.4.2. Studijuoja Šv. Korano ajatus apie pagarbą tėvams.</w:t>
            </w:r>
          </w:p>
          <w:p w14:paraId="02C08410" w14:textId="77777777" w:rsidR="00E371B9" w:rsidRDefault="00E371B9" w:rsidP="00E371B9">
            <w:pPr>
              <w:spacing w:line="256" w:lineRule="auto"/>
              <w:ind w:firstLine="30"/>
              <w:rPr>
                <w:bCs/>
                <w:color w:val="000000"/>
                <w:lang w:eastAsia="en-US"/>
              </w:rPr>
            </w:pPr>
            <w:r>
              <w:rPr>
                <w:bCs/>
                <w:color w:val="000000"/>
                <w:lang w:eastAsia="en-US"/>
              </w:rPr>
              <w:t xml:space="preserve">26.4.3. Monoteistinės religijos. </w:t>
            </w:r>
          </w:p>
          <w:p w14:paraId="0ABB01AB" w14:textId="0171B885" w:rsidR="00E371B9" w:rsidRDefault="00E371B9" w:rsidP="00E371B9">
            <w:pPr>
              <w:spacing w:line="256" w:lineRule="auto"/>
              <w:ind w:firstLine="30"/>
              <w:rPr>
                <w:b/>
                <w:color w:val="000000"/>
                <w:lang w:eastAsia="en-US"/>
              </w:rPr>
            </w:pPr>
            <w:r>
              <w:rPr>
                <w:bCs/>
                <w:color w:val="000000"/>
                <w:lang w:eastAsia="en-US"/>
              </w:rPr>
              <w:t>26.4.4. Susipažįsta su Šv. Korano ajatais apie kitus šventraščius.</w:t>
            </w:r>
          </w:p>
        </w:tc>
        <w:tc>
          <w:tcPr>
            <w:tcW w:w="992" w:type="dxa"/>
          </w:tcPr>
          <w:p w14:paraId="433BC2BB" w14:textId="15541876" w:rsidR="00E371B9" w:rsidRDefault="00E371B9" w:rsidP="00E371B9">
            <w:pPr>
              <w:jc w:val="center"/>
            </w:pPr>
            <w:r>
              <w:rPr>
                <w:bCs/>
                <w:lang w:eastAsia="en-US"/>
              </w:rPr>
              <w:t>5</w:t>
            </w:r>
          </w:p>
        </w:tc>
        <w:tc>
          <w:tcPr>
            <w:tcW w:w="1276" w:type="dxa"/>
          </w:tcPr>
          <w:p w14:paraId="66AA4FF4" w14:textId="77777777" w:rsidR="00E371B9" w:rsidRDefault="00E371B9" w:rsidP="00E371B9">
            <w:pPr>
              <w:jc w:val="center"/>
            </w:pPr>
          </w:p>
        </w:tc>
        <w:tc>
          <w:tcPr>
            <w:tcW w:w="2126" w:type="dxa"/>
          </w:tcPr>
          <w:p w14:paraId="2E4D375D" w14:textId="77777777" w:rsidR="00E371B9" w:rsidRDefault="00E371B9" w:rsidP="00E371B9">
            <w:pPr>
              <w:pStyle w:val="paragraph"/>
              <w:spacing w:before="0" w:beforeAutospacing="0" w:after="0" w:afterAutospacing="0"/>
              <w:textAlignment w:val="baseline"/>
              <w:divId w:val="1903906683"/>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6351A574" w14:textId="77777777" w:rsidR="00E371B9" w:rsidRDefault="00E371B9" w:rsidP="00E371B9">
            <w:pPr>
              <w:pStyle w:val="paragraph"/>
              <w:spacing w:before="0" w:beforeAutospacing="0" w:after="0" w:afterAutospacing="0"/>
              <w:textAlignment w:val="baseline"/>
              <w:divId w:val="898245435"/>
              <w:rPr>
                <w:rFonts w:ascii="Segoe UI" w:hAnsi="Segoe UI" w:cs="Segoe UI"/>
                <w:sz w:val="18"/>
                <w:szCs w:val="18"/>
              </w:rPr>
            </w:pPr>
            <w:r>
              <w:rPr>
                <w:rStyle w:val="normaltextrun"/>
                <w:b/>
                <w:bCs/>
                <w:color w:val="000000"/>
              </w:rPr>
              <w:t>Dailė </w:t>
            </w:r>
            <w:r>
              <w:rPr>
                <w:rStyle w:val="normaltextrun"/>
                <w:b/>
                <w:bCs/>
                <w:i/>
                <w:iCs/>
                <w:color w:val="000000"/>
              </w:rPr>
              <w:t> </w:t>
            </w:r>
            <w:r>
              <w:rPr>
                <w:rStyle w:val="normaltextrun"/>
                <w:i/>
                <w:iCs/>
                <w:color w:val="000000"/>
              </w:rPr>
              <w:t>- </w:t>
            </w:r>
            <w:r>
              <w:rPr>
                <w:rStyle w:val="normaltextrun"/>
                <w:i/>
                <w:iCs/>
              </w:rPr>
              <w:t xml:space="preserve">atsirenka ir taiko jau žinomas dailės technikas, kūrybiškai ir saugiai jomis </w:t>
            </w:r>
            <w:r>
              <w:rPr>
                <w:rStyle w:val="normaltextrun"/>
                <w:i/>
                <w:iCs/>
              </w:rPr>
              <w:lastRenderedPageBreak/>
              <w:t>naudojasi (A2.1.3.)</w:t>
            </w:r>
            <w:r>
              <w:rPr>
                <w:rStyle w:val="eop"/>
              </w:rPr>
              <w:t> </w:t>
            </w:r>
          </w:p>
          <w:p w14:paraId="4E453599" w14:textId="77777777" w:rsidR="00E371B9" w:rsidRDefault="00E371B9" w:rsidP="00E371B9">
            <w:pPr>
              <w:pStyle w:val="paragraph"/>
              <w:spacing w:before="0" w:beforeAutospacing="0" w:after="0" w:afterAutospacing="0"/>
              <w:textAlignment w:val="baseline"/>
              <w:divId w:val="386686622"/>
              <w:rPr>
                <w:rFonts w:ascii="Segoe UI" w:hAnsi="Segoe UI" w:cs="Segoe UI"/>
                <w:sz w:val="18"/>
                <w:szCs w:val="18"/>
              </w:rPr>
            </w:pPr>
            <w:r>
              <w:rPr>
                <w:rStyle w:val="normaltextrun"/>
                <w:i/>
                <w:iCs/>
                <w:color w:val="000000"/>
              </w:rPr>
              <w:t>.</w:t>
            </w:r>
            <w:r>
              <w:rPr>
                <w:rStyle w:val="eop"/>
                <w:color w:val="000000"/>
              </w:rPr>
              <w:t> </w:t>
            </w:r>
          </w:p>
          <w:p w14:paraId="5025FBFB" w14:textId="77777777" w:rsidR="00E371B9" w:rsidRDefault="00E371B9" w:rsidP="00E371B9">
            <w:pPr>
              <w:pStyle w:val="paragraph"/>
              <w:spacing w:before="0" w:beforeAutospacing="0" w:after="0" w:afterAutospacing="0"/>
              <w:textAlignment w:val="baseline"/>
              <w:divId w:val="54161949"/>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2B706799" w14:textId="5C40BE5F" w:rsidR="00E371B9" w:rsidRDefault="00E371B9" w:rsidP="00E371B9">
            <w:pPr>
              <w:jc w:val="center"/>
            </w:pPr>
            <w:r>
              <w:rPr>
                <w:rStyle w:val="normaltextrun"/>
              </w:rPr>
              <w:t> </w:t>
            </w:r>
            <w:r>
              <w:rPr>
                <w:rStyle w:val="eop"/>
              </w:rPr>
              <w:t> </w:t>
            </w:r>
          </w:p>
        </w:tc>
      </w:tr>
      <w:tr w:rsidR="00E371B9" w14:paraId="51ABF65C" w14:textId="31344BF5" w:rsidTr="00E371B9">
        <w:tc>
          <w:tcPr>
            <w:tcW w:w="846" w:type="dxa"/>
          </w:tcPr>
          <w:p w14:paraId="737DCE36" w14:textId="66CC0F49" w:rsidR="00E371B9" w:rsidRDefault="00E371B9" w:rsidP="00E371B9">
            <w:pPr>
              <w:jc w:val="both"/>
            </w:pPr>
            <w:r>
              <w:lastRenderedPageBreak/>
              <w:t>6.</w:t>
            </w:r>
          </w:p>
        </w:tc>
        <w:tc>
          <w:tcPr>
            <w:tcW w:w="4394" w:type="dxa"/>
          </w:tcPr>
          <w:p w14:paraId="2808EA8E" w14:textId="77777777" w:rsidR="00E371B9" w:rsidRDefault="00E371B9" w:rsidP="00E371B9">
            <w:pPr>
              <w:pStyle w:val="ListParagraph"/>
              <w:spacing w:line="256" w:lineRule="auto"/>
              <w:ind w:left="30" w:firstLine="30"/>
              <w:rPr>
                <w:bCs/>
                <w:lang w:eastAsia="en-US"/>
              </w:rPr>
            </w:pPr>
            <w:r>
              <w:rPr>
                <w:bCs/>
                <w:lang w:eastAsia="en-US"/>
              </w:rPr>
              <w:t>26.5. Asmens tobulėjimas ir visuomenė:</w:t>
            </w:r>
          </w:p>
          <w:p w14:paraId="3C5CEA00" w14:textId="2E9700B4" w:rsidR="00E371B9" w:rsidRDefault="00E371B9" w:rsidP="00E371B9">
            <w:pPr>
              <w:pStyle w:val="ListParagraph"/>
              <w:ind w:left="0" w:firstLine="30"/>
              <w:rPr>
                <w:bCs/>
                <w:lang w:eastAsia="en-US"/>
              </w:rPr>
            </w:pPr>
            <w:r>
              <w:rPr>
                <w:bCs/>
                <w:lang w:eastAsia="en-US"/>
              </w:rPr>
              <w:t xml:space="preserve">26.5.1. Šv. Koranas ir Pranašo Suna: ajatai. </w:t>
            </w:r>
          </w:p>
        </w:tc>
        <w:tc>
          <w:tcPr>
            <w:tcW w:w="992" w:type="dxa"/>
          </w:tcPr>
          <w:p w14:paraId="5389C98E" w14:textId="7189E57A" w:rsidR="00E371B9" w:rsidRDefault="00E371B9" w:rsidP="00E371B9">
            <w:pPr>
              <w:jc w:val="center"/>
              <w:rPr>
                <w:bCs/>
                <w:lang w:eastAsia="en-US"/>
              </w:rPr>
            </w:pPr>
            <w:r>
              <w:rPr>
                <w:bCs/>
                <w:lang w:eastAsia="en-US"/>
              </w:rPr>
              <w:t>5</w:t>
            </w:r>
          </w:p>
        </w:tc>
        <w:tc>
          <w:tcPr>
            <w:tcW w:w="1276" w:type="dxa"/>
          </w:tcPr>
          <w:p w14:paraId="68063855" w14:textId="77777777" w:rsidR="00E371B9" w:rsidRDefault="00E371B9" w:rsidP="00E371B9">
            <w:pPr>
              <w:jc w:val="center"/>
            </w:pPr>
          </w:p>
        </w:tc>
        <w:tc>
          <w:tcPr>
            <w:tcW w:w="2126" w:type="dxa"/>
          </w:tcPr>
          <w:p w14:paraId="7B07C40C" w14:textId="77777777" w:rsidR="00E371B9" w:rsidRDefault="00E371B9" w:rsidP="00E371B9">
            <w:pPr>
              <w:pStyle w:val="paragraph"/>
              <w:spacing w:before="0" w:beforeAutospacing="0" w:after="0" w:afterAutospacing="0"/>
              <w:textAlignment w:val="baseline"/>
              <w:divId w:val="1387333959"/>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73F8FB9D" w14:textId="77777777" w:rsidR="00E371B9" w:rsidRDefault="00E371B9" w:rsidP="00E371B9">
            <w:pPr>
              <w:pStyle w:val="paragraph"/>
              <w:spacing w:before="0" w:beforeAutospacing="0" w:after="0" w:afterAutospacing="0"/>
              <w:textAlignment w:val="baseline"/>
              <w:divId w:val="2139448388"/>
              <w:rPr>
                <w:rFonts w:ascii="Segoe UI" w:hAnsi="Segoe UI" w:cs="Segoe UI"/>
                <w:sz w:val="18"/>
                <w:szCs w:val="18"/>
              </w:rPr>
            </w:pPr>
            <w:r>
              <w:rPr>
                <w:rStyle w:val="normaltextrun"/>
                <w:b/>
                <w:bCs/>
                <w:color w:val="000000"/>
              </w:rPr>
              <w:t>Dailė </w:t>
            </w:r>
            <w:r>
              <w:rPr>
                <w:rStyle w:val="normaltextrun"/>
                <w:color w:val="000000"/>
              </w:rPr>
              <w:t>-</w:t>
            </w:r>
            <w:r>
              <w:rPr>
                <w:rStyle w:val="normaltextrun"/>
                <w:i/>
                <w:iCs/>
                <w:color w:val="000000"/>
              </w:rPr>
              <w:t> </w:t>
            </w:r>
            <w:r>
              <w:rPr>
                <w:rStyle w:val="normaltextrun"/>
                <w:i/>
                <w:iCs/>
              </w:rPr>
              <w:t>asirenka ir taiko jau žinomas dailės technikas, kūrybiškai ir saugiai jomis naudojasi (A2.1.3.)</w:t>
            </w:r>
            <w:r>
              <w:rPr>
                <w:rStyle w:val="eop"/>
              </w:rPr>
              <w:t> </w:t>
            </w:r>
          </w:p>
          <w:p w14:paraId="31D9AE99" w14:textId="77777777" w:rsidR="00E371B9" w:rsidRDefault="00E371B9" w:rsidP="00E371B9">
            <w:pPr>
              <w:pStyle w:val="paragraph"/>
              <w:spacing w:before="0" w:beforeAutospacing="0" w:after="0" w:afterAutospacing="0"/>
              <w:textAlignment w:val="baseline"/>
              <w:divId w:val="468211289"/>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070BE11A" w14:textId="77777777" w:rsidR="00E371B9" w:rsidRDefault="00E371B9" w:rsidP="00E371B9">
            <w:pPr>
              <w:pStyle w:val="paragraph"/>
              <w:spacing w:before="0" w:beforeAutospacing="0" w:after="0" w:afterAutospacing="0"/>
              <w:textAlignment w:val="baseline"/>
              <w:divId w:val="1224752233"/>
              <w:rPr>
                <w:rFonts w:ascii="Segoe UI" w:hAnsi="Segoe UI" w:cs="Segoe UI"/>
                <w:sz w:val="18"/>
                <w:szCs w:val="18"/>
              </w:rPr>
            </w:pPr>
            <w:r>
              <w:rPr>
                <w:rStyle w:val="normaltextrun"/>
                <w:b/>
                <w:bCs/>
                <w:i/>
                <w:iCs/>
                <w:color w:val="000000"/>
              </w:rPr>
              <w:t>Gyvenimo įgūdžiai</w:t>
            </w:r>
            <w:r>
              <w:rPr>
                <w:rStyle w:val="normaltextrun"/>
                <w:i/>
                <w:iCs/>
                <w:color w:val="000000"/>
              </w:rPr>
              <w:t> </w:t>
            </w:r>
            <w:r>
              <w:rPr>
                <w:rStyle w:val="normaltextrun"/>
                <w:i/>
                <w:iCs/>
              </w:rPr>
              <w:t>, pasakoja apie skirtingų kultūrų bendravimo ypatumus, argumentuoja, kaip skirtingų kultūrų žmonės praturtina vieni kitų gyvenimą. (B3.)</w:t>
            </w:r>
            <w:r>
              <w:rPr>
                <w:rStyle w:val="eop"/>
              </w:rPr>
              <w:t> </w:t>
            </w:r>
          </w:p>
          <w:p w14:paraId="3E52CF8B" w14:textId="6DC75ACA" w:rsidR="00E371B9" w:rsidRDefault="00E371B9" w:rsidP="00E371B9">
            <w:pPr>
              <w:jc w:val="center"/>
            </w:pPr>
            <w:r>
              <w:rPr>
                <w:rStyle w:val="normaltextrun"/>
                <w:b/>
                <w:bCs/>
                <w:i/>
                <w:iCs/>
              </w:rPr>
              <w:t>Etika</w:t>
            </w:r>
            <w:r>
              <w:rPr>
                <w:rStyle w:val="eop"/>
              </w:rPr>
              <w:t> </w:t>
            </w:r>
          </w:p>
        </w:tc>
      </w:tr>
      <w:tr w:rsidR="00E371B9" w14:paraId="58824E57" w14:textId="2202CA03" w:rsidTr="00E371B9">
        <w:tc>
          <w:tcPr>
            <w:tcW w:w="846" w:type="dxa"/>
          </w:tcPr>
          <w:p w14:paraId="7338B26E" w14:textId="5619580B" w:rsidR="00E371B9" w:rsidRDefault="00E371B9" w:rsidP="00C43D23">
            <w:pPr>
              <w:jc w:val="both"/>
            </w:pPr>
            <w:r>
              <w:t>7.</w:t>
            </w:r>
          </w:p>
        </w:tc>
        <w:tc>
          <w:tcPr>
            <w:tcW w:w="4394" w:type="dxa"/>
          </w:tcPr>
          <w:p w14:paraId="61221813" w14:textId="5F3BEEA0" w:rsidR="00E371B9" w:rsidRDefault="00E371B9" w:rsidP="00C43D23">
            <w:pPr>
              <w:pStyle w:val="ListParagraph"/>
              <w:ind w:left="0" w:firstLine="0"/>
            </w:pPr>
            <w:r>
              <w:t>Ko išmokau per šiuos metus? Refleksija ir įsivertinimas.</w:t>
            </w:r>
          </w:p>
        </w:tc>
        <w:tc>
          <w:tcPr>
            <w:tcW w:w="992" w:type="dxa"/>
          </w:tcPr>
          <w:p w14:paraId="74028351" w14:textId="66D62562" w:rsidR="00E371B9" w:rsidRDefault="00E371B9" w:rsidP="00C43D23">
            <w:pPr>
              <w:jc w:val="center"/>
            </w:pPr>
            <w:r>
              <w:rPr>
                <w:bCs/>
                <w:lang w:eastAsia="en-US"/>
              </w:rPr>
              <w:t>1</w:t>
            </w:r>
          </w:p>
        </w:tc>
        <w:tc>
          <w:tcPr>
            <w:tcW w:w="1276" w:type="dxa"/>
          </w:tcPr>
          <w:p w14:paraId="1F74A247" w14:textId="77777777" w:rsidR="00E371B9" w:rsidRDefault="00E371B9" w:rsidP="00C43D23">
            <w:pPr>
              <w:jc w:val="center"/>
            </w:pPr>
          </w:p>
        </w:tc>
        <w:tc>
          <w:tcPr>
            <w:tcW w:w="2126" w:type="dxa"/>
          </w:tcPr>
          <w:p w14:paraId="600C8890" w14:textId="77777777" w:rsidR="00E371B9" w:rsidRDefault="00E371B9" w:rsidP="00C43D2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30759B"/>
    <w:rsid w:val="003E3776"/>
    <w:rsid w:val="004B6D49"/>
    <w:rsid w:val="00520913"/>
    <w:rsid w:val="00546379"/>
    <w:rsid w:val="006861C0"/>
    <w:rsid w:val="00712086"/>
    <w:rsid w:val="007459FB"/>
    <w:rsid w:val="007F555A"/>
    <w:rsid w:val="00807821"/>
    <w:rsid w:val="008E4C88"/>
    <w:rsid w:val="008F5765"/>
    <w:rsid w:val="009D4064"/>
    <w:rsid w:val="009E2474"/>
    <w:rsid w:val="00A004F7"/>
    <w:rsid w:val="00B41227"/>
    <w:rsid w:val="00BE148C"/>
    <w:rsid w:val="00C43D23"/>
    <w:rsid w:val="00DC61DB"/>
    <w:rsid w:val="00E371B9"/>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183933487">
      <w:bodyDiv w:val="1"/>
      <w:marLeft w:val="0"/>
      <w:marRight w:val="0"/>
      <w:marTop w:val="0"/>
      <w:marBottom w:val="0"/>
      <w:divBdr>
        <w:top w:val="none" w:sz="0" w:space="0" w:color="auto"/>
        <w:left w:val="none" w:sz="0" w:space="0" w:color="auto"/>
        <w:bottom w:val="none" w:sz="0" w:space="0" w:color="auto"/>
        <w:right w:val="none" w:sz="0" w:space="0" w:color="auto"/>
      </w:divBdr>
      <w:divsChild>
        <w:div w:id="639069578">
          <w:marLeft w:val="0"/>
          <w:marRight w:val="0"/>
          <w:marTop w:val="0"/>
          <w:marBottom w:val="0"/>
          <w:divBdr>
            <w:top w:val="none" w:sz="0" w:space="0" w:color="auto"/>
            <w:left w:val="none" w:sz="0" w:space="0" w:color="auto"/>
            <w:bottom w:val="none" w:sz="0" w:space="0" w:color="auto"/>
            <w:right w:val="none" w:sz="0" w:space="0" w:color="auto"/>
          </w:divBdr>
          <w:divsChild>
            <w:div w:id="1387333959">
              <w:marLeft w:val="0"/>
              <w:marRight w:val="0"/>
              <w:marTop w:val="0"/>
              <w:marBottom w:val="0"/>
              <w:divBdr>
                <w:top w:val="none" w:sz="0" w:space="0" w:color="auto"/>
                <w:left w:val="none" w:sz="0" w:space="0" w:color="auto"/>
                <w:bottom w:val="none" w:sz="0" w:space="0" w:color="auto"/>
                <w:right w:val="none" w:sz="0" w:space="0" w:color="auto"/>
              </w:divBdr>
            </w:div>
            <w:div w:id="2139448388">
              <w:marLeft w:val="0"/>
              <w:marRight w:val="0"/>
              <w:marTop w:val="0"/>
              <w:marBottom w:val="0"/>
              <w:divBdr>
                <w:top w:val="none" w:sz="0" w:space="0" w:color="auto"/>
                <w:left w:val="none" w:sz="0" w:space="0" w:color="auto"/>
                <w:bottom w:val="none" w:sz="0" w:space="0" w:color="auto"/>
                <w:right w:val="none" w:sz="0" w:space="0" w:color="auto"/>
              </w:divBdr>
            </w:div>
            <w:div w:id="468211289">
              <w:marLeft w:val="0"/>
              <w:marRight w:val="0"/>
              <w:marTop w:val="0"/>
              <w:marBottom w:val="0"/>
              <w:divBdr>
                <w:top w:val="none" w:sz="0" w:space="0" w:color="auto"/>
                <w:left w:val="none" w:sz="0" w:space="0" w:color="auto"/>
                <w:bottom w:val="none" w:sz="0" w:space="0" w:color="auto"/>
                <w:right w:val="none" w:sz="0" w:space="0" w:color="auto"/>
              </w:divBdr>
            </w:div>
            <w:div w:id="1224752233">
              <w:marLeft w:val="0"/>
              <w:marRight w:val="0"/>
              <w:marTop w:val="0"/>
              <w:marBottom w:val="0"/>
              <w:divBdr>
                <w:top w:val="none" w:sz="0" w:space="0" w:color="auto"/>
                <w:left w:val="none" w:sz="0" w:space="0" w:color="auto"/>
                <w:bottom w:val="none" w:sz="0" w:space="0" w:color="auto"/>
                <w:right w:val="none" w:sz="0" w:space="0" w:color="auto"/>
              </w:divBdr>
            </w:div>
          </w:divsChild>
        </w:div>
        <w:div w:id="342630608">
          <w:marLeft w:val="0"/>
          <w:marRight w:val="0"/>
          <w:marTop w:val="0"/>
          <w:marBottom w:val="0"/>
          <w:divBdr>
            <w:top w:val="none" w:sz="0" w:space="0" w:color="auto"/>
            <w:left w:val="none" w:sz="0" w:space="0" w:color="auto"/>
            <w:bottom w:val="none" w:sz="0" w:space="0" w:color="auto"/>
            <w:right w:val="none" w:sz="0" w:space="0" w:color="auto"/>
          </w:divBdr>
          <w:divsChild>
            <w:div w:id="1903906683">
              <w:marLeft w:val="0"/>
              <w:marRight w:val="0"/>
              <w:marTop w:val="0"/>
              <w:marBottom w:val="0"/>
              <w:divBdr>
                <w:top w:val="none" w:sz="0" w:space="0" w:color="auto"/>
                <w:left w:val="none" w:sz="0" w:space="0" w:color="auto"/>
                <w:bottom w:val="none" w:sz="0" w:space="0" w:color="auto"/>
                <w:right w:val="none" w:sz="0" w:space="0" w:color="auto"/>
              </w:divBdr>
            </w:div>
            <w:div w:id="898245435">
              <w:marLeft w:val="0"/>
              <w:marRight w:val="0"/>
              <w:marTop w:val="0"/>
              <w:marBottom w:val="0"/>
              <w:divBdr>
                <w:top w:val="none" w:sz="0" w:space="0" w:color="auto"/>
                <w:left w:val="none" w:sz="0" w:space="0" w:color="auto"/>
                <w:bottom w:val="none" w:sz="0" w:space="0" w:color="auto"/>
                <w:right w:val="none" w:sz="0" w:space="0" w:color="auto"/>
              </w:divBdr>
            </w:div>
            <w:div w:id="386686622">
              <w:marLeft w:val="0"/>
              <w:marRight w:val="0"/>
              <w:marTop w:val="0"/>
              <w:marBottom w:val="0"/>
              <w:divBdr>
                <w:top w:val="none" w:sz="0" w:space="0" w:color="auto"/>
                <w:left w:val="none" w:sz="0" w:space="0" w:color="auto"/>
                <w:bottom w:val="none" w:sz="0" w:space="0" w:color="auto"/>
                <w:right w:val="none" w:sz="0" w:space="0" w:color="auto"/>
              </w:divBdr>
            </w:div>
            <w:div w:id="541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476220318">
      <w:bodyDiv w:val="1"/>
      <w:marLeft w:val="0"/>
      <w:marRight w:val="0"/>
      <w:marTop w:val="0"/>
      <w:marBottom w:val="0"/>
      <w:divBdr>
        <w:top w:val="none" w:sz="0" w:space="0" w:color="auto"/>
        <w:left w:val="none" w:sz="0" w:space="0" w:color="auto"/>
        <w:bottom w:val="none" w:sz="0" w:space="0" w:color="auto"/>
        <w:right w:val="none" w:sz="0" w:space="0" w:color="auto"/>
      </w:divBdr>
      <w:divsChild>
        <w:div w:id="1912693846">
          <w:marLeft w:val="0"/>
          <w:marRight w:val="0"/>
          <w:marTop w:val="0"/>
          <w:marBottom w:val="0"/>
          <w:divBdr>
            <w:top w:val="none" w:sz="0" w:space="0" w:color="auto"/>
            <w:left w:val="none" w:sz="0" w:space="0" w:color="auto"/>
            <w:bottom w:val="none" w:sz="0" w:space="0" w:color="auto"/>
            <w:right w:val="none" w:sz="0" w:space="0" w:color="auto"/>
          </w:divBdr>
          <w:divsChild>
            <w:div w:id="642004150">
              <w:marLeft w:val="0"/>
              <w:marRight w:val="0"/>
              <w:marTop w:val="0"/>
              <w:marBottom w:val="0"/>
              <w:divBdr>
                <w:top w:val="none" w:sz="0" w:space="0" w:color="auto"/>
                <w:left w:val="none" w:sz="0" w:space="0" w:color="auto"/>
                <w:bottom w:val="none" w:sz="0" w:space="0" w:color="auto"/>
                <w:right w:val="none" w:sz="0" w:space="0" w:color="auto"/>
              </w:divBdr>
            </w:div>
            <w:div w:id="882865382">
              <w:marLeft w:val="0"/>
              <w:marRight w:val="0"/>
              <w:marTop w:val="0"/>
              <w:marBottom w:val="0"/>
              <w:divBdr>
                <w:top w:val="none" w:sz="0" w:space="0" w:color="auto"/>
                <w:left w:val="none" w:sz="0" w:space="0" w:color="auto"/>
                <w:bottom w:val="none" w:sz="0" w:space="0" w:color="auto"/>
                <w:right w:val="none" w:sz="0" w:space="0" w:color="auto"/>
              </w:divBdr>
            </w:div>
            <w:div w:id="1009716492">
              <w:marLeft w:val="0"/>
              <w:marRight w:val="0"/>
              <w:marTop w:val="0"/>
              <w:marBottom w:val="0"/>
              <w:divBdr>
                <w:top w:val="none" w:sz="0" w:space="0" w:color="auto"/>
                <w:left w:val="none" w:sz="0" w:space="0" w:color="auto"/>
                <w:bottom w:val="none" w:sz="0" w:space="0" w:color="auto"/>
                <w:right w:val="none" w:sz="0" w:space="0" w:color="auto"/>
              </w:divBdr>
            </w:div>
            <w:div w:id="16468520">
              <w:marLeft w:val="0"/>
              <w:marRight w:val="0"/>
              <w:marTop w:val="0"/>
              <w:marBottom w:val="0"/>
              <w:divBdr>
                <w:top w:val="none" w:sz="0" w:space="0" w:color="auto"/>
                <w:left w:val="none" w:sz="0" w:space="0" w:color="auto"/>
                <w:bottom w:val="none" w:sz="0" w:space="0" w:color="auto"/>
                <w:right w:val="none" w:sz="0" w:space="0" w:color="auto"/>
              </w:divBdr>
            </w:div>
            <w:div w:id="1938059602">
              <w:marLeft w:val="0"/>
              <w:marRight w:val="0"/>
              <w:marTop w:val="0"/>
              <w:marBottom w:val="0"/>
              <w:divBdr>
                <w:top w:val="none" w:sz="0" w:space="0" w:color="auto"/>
                <w:left w:val="none" w:sz="0" w:space="0" w:color="auto"/>
                <w:bottom w:val="none" w:sz="0" w:space="0" w:color="auto"/>
                <w:right w:val="none" w:sz="0" w:space="0" w:color="auto"/>
              </w:divBdr>
            </w:div>
          </w:divsChild>
        </w:div>
        <w:div w:id="805974773">
          <w:marLeft w:val="0"/>
          <w:marRight w:val="0"/>
          <w:marTop w:val="0"/>
          <w:marBottom w:val="0"/>
          <w:divBdr>
            <w:top w:val="none" w:sz="0" w:space="0" w:color="auto"/>
            <w:left w:val="none" w:sz="0" w:space="0" w:color="auto"/>
            <w:bottom w:val="none" w:sz="0" w:space="0" w:color="auto"/>
            <w:right w:val="none" w:sz="0" w:space="0" w:color="auto"/>
          </w:divBdr>
          <w:divsChild>
            <w:div w:id="1419447150">
              <w:marLeft w:val="0"/>
              <w:marRight w:val="0"/>
              <w:marTop w:val="0"/>
              <w:marBottom w:val="0"/>
              <w:divBdr>
                <w:top w:val="none" w:sz="0" w:space="0" w:color="auto"/>
                <w:left w:val="none" w:sz="0" w:space="0" w:color="auto"/>
                <w:bottom w:val="none" w:sz="0" w:space="0" w:color="auto"/>
                <w:right w:val="none" w:sz="0" w:space="0" w:color="auto"/>
              </w:divBdr>
            </w:div>
            <w:div w:id="414939126">
              <w:marLeft w:val="0"/>
              <w:marRight w:val="0"/>
              <w:marTop w:val="0"/>
              <w:marBottom w:val="0"/>
              <w:divBdr>
                <w:top w:val="none" w:sz="0" w:space="0" w:color="auto"/>
                <w:left w:val="none" w:sz="0" w:space="0" w:color="auto"/>
                <w:bottom w:val="none" w:sz="0" w:space="0" w:color="auto"/>
                <w:right w:val="none" w:sz="0" w:space="0" w:color="auto"/>
              </w:divBdr>
            </w:div>
            <w:div w:id="976183306">
              <w:marLeft w:val="0"/>
              <w:marRight w:val="0"/>
              <w:marTop w:val="0"/>
              <w:marBottom w:val="0"/>
              <w:divBdr>
                <w:top w:val="none" w:sz="0" w:space="0" w:color="auto"/>
                <w:left w:val="none" w:sz="0" w:space="0" w:color="auto"/>
                <w:bottom w:val="none" w:sz="0" w:space="0" w:color="auto"/>
                <w:right w:val="none" w:sz="0" w:space="0" w:color="auto"/>
              </w:divBdr>
            </w:div>
            <w:div w:id="164051594">
              <w:marLeft w:val="0"/>
              <w:marRight w:val="0"/>
              <w:marTop w:val="0"/>
              <w:marBottom w:val="0"/>
              <w:divBdr>
                <w:top w:val="none" w:sz="0" w:space="0" w:color="auto"/>
                <w:left w:val="none" w:sz="0" w:space="0" w:color="auto"/>
                <w:bottom w:val="none" w:sz="0" w:space="0" w:color="auto"/>
                <w:right w:val="none" w:sz="0" w:space="0" w:color="auto"/>
              </w:divBdr>
            </w:div>
            <w:div w:id="1609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 w:id="21298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sos-bendrosios-programos?page=1&amp;subject=5326"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4630</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2023-05-30T10:58:00Z</dcterms:created>
  <dcterms:modified xsi:type="dcterms:W3CDTF">2023-06-09T09:30:00Z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