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E0C" w:rsidRDefault="00C93E0C" w:rsidP="00C93E0C">
      <w:pPr>
        <w:pStyle w:val="Heading1"/>
        <w:spacing w:after="240"/>
        <w:rPr>
          <w:rFonts w:eastAsia="Calibri"/>
          <w:shd w:val="clear" w:color="auto" w:fill="FBFBFB"/>
          <w:lang w:val="lt-LT" w:eastAsia="en-US"/>
        </w:rPr>
      </w:pPr>
      <w:r w:rsidRPr="00667ECE">
        <w:rPr>
          <w:rFonts w:eastAsia="Times New Roman"/>
        </w:rPr>
        <w:t>Bangų sugertis ir užlinkimas už kliūties</w:t>
      </w:r>
    </w:p>
    <w:p w:rsidR="00C93E0C" w:rsidRPr="00C93E0C" w:rsidRDefault="00C93E0C" w:rsidP="00C93E0C">
      <w:pPr>
        <w:numPr>
          <w:ilvl w:val="0"/>
          <w:numId w:val="1"/>
        </w:numPr>
        <w:spacing w:after="160" w:line="259" w:lineRule="auto"/>
        <w:contextualSpacing/>
        <w:jc w:val="left"/>
        <w:rPr>
          <w:rFonts w:eastAsia="Calibri" w:cs="Times New Roman"/>
          <w:szCs w:val="24"/>
          <w:shd w:val="clear" w:color="auto" w:fill="FBFBFB"/>
          <w:lang w:val="lt-LT" w:eastAsia="en-US"/>
        </w:rPr>
      </w:pPr>
      <w:r w:rsidRPr="00C93E0C">
        <w:rPr>
          <w:rFonts w:eastAsia="Calibri" w:cs="Times New Roman"/>
          <w:szCs w:val="24"/>
          <w:shd w:val="clear" w:color="auto" w:fill="FBFBFB"/>
          <w:lang w:val="lt-LT" w:eastAsia="en-US"/>
        </w:rPr>
        <w:t>Lentelėje surašyti, kaip keičiasi bangą apibūdinantys dydžiai difrakcijos metu.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126"/>
      </w:tblGrid>
      <w:tr w:rsidR="00C93E0C" w:rsidRPr="00C93E0C" w:rsidTr="00C93E0C">
        <w:trPr>
          <w:trHeight w:val="567"/>
        </w:trPr>
        <w:tc>
          <w:tcPr>
            <w:tcW w:w="155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  <w:t>Greitis</w:t>
            </w:r>
          </w:p>
        </w:tc>
        <w:tc>
          <w:tcPr>
            <w:tcW w:w="212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</w:p>
        </w:tc>
      </w:tr>
      <w:tr w:rsidR="00C93E0C" w:rsidRPr="00C93E0C" w:rsidTr="00C93E0C">
        <w:trPr>
          <w:trHeight w:val="567"/>
        </w:trPr>
        <w:tc>
          <w:tcPr>
            <w:tcW w:w="155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  <w:t>Dažnis</w:t>
            </w:r>
          </w:p>
        </w:tc>
        <w:tc>
          <w:tcPr>
            <w:tcW w:w="212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</w:p>
        </w:tc>
      </w:tr>
      <w:tr w:rsidR="00C93E0C" w:rsidRPr="00C93E0C" w:rsidTr="00C93E0C">
        <w:trPr>
          <w:trHeight w:val="567"/>
        </w:trPr>
        <w:tc>
          <w:tcPr>
            <w:tcW w:w="155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  <w:t>Bangos ilgis</w:t>
            </w:r>
          </w:p>
        </w:tc>
        <w:tc>
          <w:tcPr>
            <w:tcW w:w="212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</w:p>
        </w:tc>
      </w:tr>
      <w:tr w:rsidR="00C93E0C" w:rsidRPr="00C93E0C" w:rsidTr="00C93E0C">
        <w:trPr>
          <w:trHeight w:val="567"/>
        </w:trPr>
        <w:tc>
          <w:tcPr>
            <w:tcW w:w="155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  <w:t>Amplitudė</w:t>
            </w:r>
          </w:p>
        </w:tc>
        <w:tc>
          <w:tcPr>
            <w:tcW w:w="212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shd w:val="clear" w:color="auto" w:fill="FBFBFB"/>
                <w:lang w:val="lt-LT" w:eastAsia="en-US"/>
              </w:rPr>
            </w:pPr>
          </w:p>
        </w:tc>
      </w:tr>
    </w:tbl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color w:val="2E74B5"/>
          <w:szCs w:val="24"/>
          <w:shd w:val="clear" w:color="auto" w:fill="FBFBFB"/>
          <w:lang w:val="lt-LT" w:eastAsia="en-US"/>
        </w:rPr>
      </w:pPr>
    </w:p>
    <w:p w:rsidR="00C93E0C" w:rsidRPr="00C93E0C" w:rsidRDefault="00C93E0C" w:rsidP="00C93E0C">
      <w:pPr>
        <w:numPr>
          <w:ilvl w:val="0"/>
          <w:numId w:val="1"/>
        </w:numPr>
        <w:spacing w:after="160" w:line="259" w:lineRule="auto"/>
        <w:contextualSpacing/>
        <w:jc w:val="left"/>
        <w:rPr>
          <w:rFonts w:eastAsia="Calibri" w:cs="Times New Roman"/>
          <w:szCs w:val="24"/>
          <w:shd w:val="clear" w:color="auto" w:fill="FBFBFB"/>
          <w:lang w:val="lt-LT" w:eastAsia="en-US"/>
        </w:rPr>
      </w:pPr>
      <w:r w:rsidRPr="00C93E0C">
        <w:rPr>
          <w:rFonts w:eastAsia="Calibri" w:cs="Times New Roman"/>
          <w:szCs w:val="24"/>
          <w:shd w:val="clear" w:color="auto" w:fill="FBFBFB"/>
          <w:lang w:val="lt-LT" w:eastAsia="en-US"/>
        </w:rPr>
        <w:t>Bangų mašinoje mokinys atlieka eksperimentą. Paveiksle parodytas krintančios ir praėjusios pro plyšį bangos frontas. Kodėl aplinkoje X ir Y bangų ilgiai skiriasi?</w:t>
      </w:r>
    </w:p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szCs w:val="24"/>
          <w:shd w:val="clear" w:color="auto" w:fill="FBFBFB"/>
          <w:lang w:val="lt-LT" w:eastAsia="en-US"/>
        </w:rPr>
      </w:pPr>
      <w:r w:rsidRPr="00C93E0C">
        <w:rPr>
          <w:rFonts w:eastAsia="Calibri" w:cs="Times New Roman"/>
          <w:noProof/>
          <w:szCs w:val="24"/>
          <w:lang w:val="lt-LT"/>
        </w:rPr>
        <w:drawing>
          <wp:inline distT="0" distB="0" distL="0" distR="0" wp14:anchorId="1FACC542" wp14:editId="421827A1">
            <wp:extent cx="3602163" cy="2715065"/>
            <wp:effectExtent l="0" t="0" r="0" b="9525"/>
            <wp:docPr id="2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0573" cy="272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E0C">
        <w:rPr>
          <w:rFonts w:eastAsia="Calibri" w:cs="Times New Roman"/>
          <w:szCs w:val="24"/>
          <w:shd w:val="clear" w:color="auto" w:fill="FBFBFB"/>
          <w:lang w:val="lt-LT" w:eastAsia="en-US"/>
        </w:rPr>
        <w:t xml:space="preserve"> </w:t>
      </w:r>
    </w:p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color w:val="2E74B5"/>
          <w:szCs w:val="24"/>
          <w:shd w:val="clear" w:color="auto" w:fill="FBFBFB"/>
          <w:lang w:val="lt-LT" w:eastAsia="en-US"/>
        </w:rPr>
      </w:pPr>
    </w:p>
    <w:p w:rsidR="00C93E0C" w:rsidRPr="00C93E0C" w:rsidRDefault="00C93E0C" w:rsidP="00C93E0C">
      <w:pPr>
        <w:numPr>
          <w:ilvl w:val="0"/>
          <w:numId w:val="1"/>
        </w:numPr>
        <w:spacing w:after="160" w:line="259" w:lineRule="auto"/>
        <w:contextualSpacing/>
        <w:jc w:val="left"/>
        <w:rPr>
          <w:rFonts w:eastAsia="Calibri" w:cs="Times New Roman"/>
          <w:szCs w:val="24"/>
          <w:lang w:val="lt-LT" w:eastAsia="en-US"/>
        </w:rPr>
      </w:pPr>
      <w:r w:rsidRPr="00C93E0C">
        <w:rPr>
          <w:rFonts w:eastAsia="Calibri" w:cs="Times New Roman"/>
          <w:szCs w:val="24"/>
          <w:lang w:val="lt-LT" w:eastAsia="en-US"/>
        </w:rPr>
        <w:t>Bangos artėja prie įvairių kliūčių. Pavaizduokite tolimesnį bangų sklidimą.</w:t>
      </w: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  <w:r w:rsidRPr="00C93E0C">
        <w:rPr>
          <w:rFonts w:eastAsia="Calibri" w:cs="Times New Roman"/>
          <w:noProof/>
          <w:szCs w:val="24"/>
          <w:lang w:val="lt-LT"/>
        </w:rPr>
        <w:drawing>
          <wp:inline distT="0" distB="0" distL="0" distR="0">
            <wp:extent cx="4290060" cy="1531620"/>
            <wp:effectExtent l="0" t="0" r="0" b="0"/>
            <wp:docPr id="3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ind w:left="720"/>
        <w:contextualSpacing/>
        <w:jc w:val="left"/>
        <w:rPr>
          <w:rFonts w:eastAsia="Calibri" w:cs="Times New Roman"/>
          <w:szCs w:val="24"/>
          <w:lang w:val="lt-LT" w:eastAsia="en-US"/>
        </w:rPr>
      </w:pPr>
    </w:p>
    <w:p w:rsidR="00C93E0C" w:rsidRPr="00C93E0C" w:rsidRDefault="00C93E0C" w:rsidP="00C93E0C">
      <w:pPr>
        <w:numPr>
          <w:ilvl w:val="0"/>
          <w:numId w:val="1"/>
        </w:numPr>
        <w:spacing w:after="160" w:line="259" w:lineRule="auto"/>
        <w:contextualSpacing/>
        <w:jc w:val="left"/>
        <w:rPr>
          <w:rFonts w:eastAsia="Calibri" w:cs="Times New Roman"/>
          <w:color w:val="111111"/>
          <w:szCs w:val="24"/>
          <w:lang w:val="lt-LT" w:eastAsia="en-US"/>
        </w:rPr>
      </w:pPr>
      <w:r w:rsidRPr="00C93E0C">
        <w:rPr>
          <w:rFonts w:eastAsia="Calibri" w:cs="Times New Roman"/>
          <w:noProof/>
          <w:szCs w:val="24"/>
          <w:lang w:val="lt-LT"/>
        </w:rPr>
        <w:drawing>
          <wp:anchor distT="0" distB="0" distL="114300" distR="114300" simplePos="0" relativeHeight="251661312" behindDoc="0" locked="0" layoutInCell="1" allowOverlap="1" wp14:anchorId="18345AE0" wp14:editId="2B8F046A">
            <wp:simplePos x="0" y="0"/>
            <wp:positionH relativeFrom="margin">
              <wp:align>left</wp:align>
            </wp:positionH>
            <wp:positionV relativeFrom="paragraph">
              <wp:posOffset>428005</wp:posOffset>
            </wp:positionV>
            <wp:extent cx="3395345" cy="2505075"/>
            <wp:effectExtent l="0" t="0" r="0" b="0"/>
            <wp:wrapTopAndBottom/>
            <wp:docPr id="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537" cy="250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E0C">
        <w:rPr>
          <w:rFonts w:eastAsia="Calibri" w:cs="Times New Roman"/>
          <w:szCs w:val="24"/>
          <w:lang w:val="lt-LT" w:eastAsia="en-US"/>
        </w:rPr>
        <w:t>Atliekant eksperimentus  su įvairiomis medžiagomis buvo gautos g</w:t>
      </w:r>
      <w:r w:rsidRPr="00C93E0C">
        <w:rPr>
          <w:rFonts w:eastAsia="Calibri" w:cs="Times New Roman"/>
          <w:color w:val="111111"/>
          <w:szCs w:val="24"/>
          <w:lang w:val="lt-LT" w:eastAsia="en-US"/>
        </w:rPr>
        <w:t>arso perdavimo nuostolių spektras kaip dažnio funkcija. Kokias išvadas galima padaryti iš šių priklausomybių?</w:t>
      </w:r>
    </w:p>
    <w:p w:rsidR="00C93E0C" w:rsidRPr="00C93E0C" w:rsidRDefault="00C93E0C" w:rsidP="00C93E0C">
      <w:pPr>
        <w:numPr>
          <w:ilvl w:val="0"/>
          <w:numId w:val="1"/>
        </w:numPr>
        <w:spacing w:after="160" w:line="259" w:lineRule="auto"/>
        <w:contextualSpacing/>
        <w:jc w:val="left"/>
        <w:rPr>
          <w:rFonts w:eastAsia="Calibri" w:cs="Times New Roman"/>
          <w:color w:val="1F1F1F"/>
          <w:szCs w:val="24"/>
          <w:lang w:val="lt-LT" w:eastAsia="en-US"/>
        </w:rPr>
      </w:pPr>
      <w:r w:rsidRPr="00C93E0C">
        <w:rPr>
          <w:rFonts w:eastAsia="Calibri" w:cs="Times New Roman"/>
          <w:color w:val="1F1F1F"/>
          <w:szCs w:val="24"/>
          <w:lang w:val="lt-LT" w:eastAsia="en-US"/>
        </w:rPr>
        <w:t xml:space="preserve">Lentelėje pateikta ta pati įvairaus tankio porėta  medžiaga A, B ir B, kai </w:t>
      </w:r>
      <w:r w:rsidRPr="00C93E0C">
        <w:rPr>
          <w:rFonts w:eastAsia="Calibri" w:cs="Times New Roman"/>
          <w:szCs w:val="24"/>
          <w:lang w:val="lt-LT" w:eastAsia="en-US"/>
        </w:rPr>
        <w:sym w:font="Symbol" w:char="F072"/>
      </w:r>
      <w:r w:rsidRPr="00C93E0C">
        <w:rPr>
          <w:rFonts w:eastAsia="Calibri" w:cs="Times New Roman"/>
          <w:color w:val="1F1F1F"/>
          <w:szCs w:val="24"/>
          <w:vertAlign w:val="subscript"/>
          <w:lang w:val="lt-LT" w:eastAsia="en-US"/>
        </w:rPr>
        <w:t xml:space="preserve">A </w:t>
      </w:r>
      <w:r w:rsidRPr="00C93E0C">
        <w:rPr>
          <w:rFonts w:eastAsia="Calibri" w:cs="Times New Roman"/>
          <w:color w:val="1F1F1F"/>
          <w:szCs w:val="24"/>
          <w:lang w:val="lt-LT" w:eastAsia="en-US"/>
        </w:rPr>
        <w:t>&gt;</w:t>
      </w:r>
      <w:r w:rsidRPr="00C93E0C">
        <w:rPr>
          <w:rFonts w:eastAsia="Calibri" w:cs="Times New Roman"/>
          <w:szCs w:val="24"/>
          <w:lang w:val="lt-LT" w:eastAsia="en-US"/>
        </w:rPr>
        <w:sym w:font="Symbol" w:char="F072"/>
      </w:r>
      <w:r w:rsidRPr="00C93E0C">
        <w:rPr>
          <w:rFonts w:eastAsia="Calibri" w:cs="Times New Roman"/>
          <w:color w:val="1F1F1F"/>
          <w:szCs w:val="24"/>
          <w:vertAlign w:val="subscript"/>
          <w:lang w:val="lt-LT" w:eastAsia="en-US"/>
        </w:rPr>
        <w:t xml:space="preserve">C </w:t>
      </w:r>
      <w:r w:rsidRPr="00C93E0C">
        <w:rPr>
          <w:rFonts w:eastAsia="Calibri" w:cs="Times New Roman"/>
          <w:color w:val="1F1F1F"/>
          <w:szCs w:val="24"/>
          <w:lang w:val="lt-LT" w:eastAsia="en-US"/>
        </w:rPr>
        <w:t>&gt;</w:t>
      </w:r>
      <w:r w:rsidRPr="00C93E0C">
        <w:rPr>
          <w:rFonts w:eastAsia="Calibri" w:cs="Times New Roman"/>
          <w:szCs w:val="24"/>
          <w:lang w:val="lt-LT" w:eastAsia="en-US"/>
        </w:rPr>
        <w:sym w:font="Symbol" w:char="F072"/>
      </w:r>
      <w:r w:rsidRPr="00C93E0C">
        <w:rPr>
          <w:rFonts w:eastAsia="Calibri" w:cs="Times New Roman"/>
          <w:color w:val="1F1F1F"/>
          <w:szCs w:val="24"/>
          <w:vertAlign w:val="subscript"/>
          <w:lang w:val="lt-LT" w:eastAsia="en-US"/>
        </w:rPr>
        <w:t xml:space="preserve">B  </w:t>
      </w:r>
      <w:r w:rsidRPr="00C93E0C">
        <w:rPr>
          <w:rFonts w:eastAsia="Calibri" w:cs="Times New Roman"/>
          <w:color w:val="1F1F1F"/>
          <w:szCs w:val="24"/>
          <w:lang w:val="lt-LT" w:eastAsia="en-US"/>
        </w:rPr>
        <w:t xml:space="preserve"> ir eksperimento rezultatų grafikai.  Kokis išvadas galima padaryti iš šių eksperimentų?</w:t>
      </w:r>
    </w:p>
    <w:tbl>
      <w:tblPr>
        <w:tblStyle w:val="TableGrid"/>
        <w:tblpPr w:leftFromText="180" w:rightFromText="180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3116"/>
      </w:tblGrid>
      <w:tr w:rsidR="00C93E0C" w:rsidRPr="00C93E0C" w:rsidTr="00E970B4">
        <w:tc>
          <w:tcPr>
            <w:tcW w:w="3116" w:type="dxa"/>
          </w:tcPr>
          <w:p w:rsidR="00C93E0C" w:rsidRPr="00C93E0C" w:rsidRDefault="00C93E0C" w:rsidP="00C93E0C">
            <w:pPr>
              <w:numPr>
                <w:ilvl w:val="0"/>
                <w:numId w:val="2"/>
              </w:numPr>
              <w:contextualSpacing/>
              <w:jc w:val="left"/>
              <w:rPr>
                <w:rFonts w:eastAsia="Calibri" w:cs="Times New Roman"/>
                <w:noProof/>
                <w:szCs w:val="24"/>
                <w:lang w:val="en-US" w:eastAsia="en-US"/>
              </w:rPr>
            </w:pPr>
            <w:r w:rsidRPr="00C93E0C">
              <w:rPr>
                <w:rFonts w:eastAsia="Calibri" w:cs="Times New Roman"/>
                <w:noProof/>
                <w:szCs w:val="24"/>
                <w:lang w:val="lt-LT" w:eastAsia="en-US"/>
              </w:rPr>
              <w:t xml:space="preserve"> </w:t>
            </w:r>
            <w:r w:rsidRPr="00C93E0C">
              <w:rPr>
                <w:rFonts w:eastAsia="Calibri" w:cs="Times New Roman"/>
                <w:noProof/>
                <w:szCs w:val="24"/>
                <w:lang w:val="en-US" w:eastAsia="en-US"/>
              </w:rPr>
              <w:t>Tanki medžiaga, labai mažai porų</w:t>
            </w:r>
          </w:p>
        </w:tc>
      </w:tr>
      <w:tr w:rsidR="00C93E0C" w:rsidRPr="00C93E0C" w:rsidTr="00E970B4">
        <w:tc>
          <w:tcPr>
            <w:tcW w:w="311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noProof/>
                <w:szCs w:val="24"/>
                <w:lang w:val="lt-LT"/>
              </w:rPr>
              <w:drawing>
                <wp:anchor distT="0" distB="0" distL="114300" distR="114300" simplePos="0" relativeHeight="251662336" behindDoc="0" locked="0" layoutInCell="1" allowOverlap="1" wp14:anchorId="6B554FCC" wp14:editId="42E34743">
                  <wp:simplePos x="0" y="0"/>
                  <wp:positionH relativeFrom="page">
                    <wp:posOffset>184150</wp:posOffset>
                  </wp:positionH>
                  <wp:positionV relativeFrom="paragraph">
                    <wp:posOffset>19050</wp:posOffset>
                  </wp:positionV>
                  <wp:extent cx="868680" cy="905510"/>
                  <wp:effectExtent l="0" t="0" r="7620" b="8890"/>
                  <wp:wrapSquare wrapText="bothSides"/>
                  <wp:docPr id="10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50721" r="73935" b="11942"/>
                          <a:stretch/>
                        </pic:blipFill>
                        <pic:spPr bwMode="auto">
                          <a:xfrm>
                            <a:off x="0" y="0"/>
                            <a:ext cx="86868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</w:tr>
      <w:tr w:rsidR="00C93E0C" w:rsidRPr="00C93E0C" w:rsidTr="00E970B4">
        <w:tc>
          <w:tcPr>
            <w:tcW w:w="3116" w:type="dxa"/>
          </w:tcPr>
          <w:p w:rsidR="00C93E0C" w:rsidRPr="00C93E0C" w:rsidRDefault="00C93E0C" w:rsidP="00C93E0C">
            <w:pPr>
              <w:numPr>
                <w:ilvl w:val="0"/>
                <w:numId w:val="2"/>
              </w:numPr>
              <w:contextualSpacing/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 xml:space="preserve"> Didelio dydžio poros, išsidėsto retai</w:t>
            </w:r>
          </w:p>
        </w:tc>
      </w:tr>
      <w:tr w:rsidR="00C93E0C" w:rsidRPr="00C93E0C" w:rsidTr="00E970B4">
        <w:tc>
          <w:tcPr>
            <w:tcW w:w="311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noProof/>
                <w:szCs w:val="24"/>
                <w:lang w:val="lt-LT"/>
              </w:rPr>
              <w:drawing>
                <wp:anchor distT="0" distB="0" distL="114300" distR="114300" simplePos="0" relativeHeight="251664384" behindDoc="0" locked="0" layoutInCell="1" allowOverlap="1" wp14:anchorId="7D387F48" wp14:editId="7B77E32A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68580</wp:posOffset>
                  </wp:positionV>
                  <wp:extent cx="897255" cy="944652"/>
                  <wp:effectExtent l="0" t="0" r="0" b="8255"/>
                  <wp:wrapTopAndBottom/>
                  <wp:docPr id="11" name="Paveikslėlis 5" descr="What Are Some Examples Of Porous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 Are Some Examples Of Porous Materi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00" t="65002" b="4634"/>
                          <a:stretch/>
                        </pic:blipFill>
                        <pic:spPr bwMode="auto">
                          <a:xfrm>
                            <a:off x="0" y="0"/>
                            <a:ext cx="897255" cy="9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3E0C" w:rsidRPr="00C93E0C" w:rsidTr="00E970B4">
        <w:tc>
          <w:tcPr>
            <w:tcW w:w="3116" w:type="dxa"/>
          </w:tcPr>
          <w:p w:rsidR="00C93E0C" w:rsidRPr="00C93E0C" w:rsidRDefault="00C93E0C" w:rsidP="00C93E0C">
            <w:pPr>
              <w:numPr>
                <w:ilvl w:val="0"/>
                <w:numId w:val="2"/>
              </w:numPr>
              <w:contextualSpacing/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>Daug porų ir mažesnio dydžio</w:t>
            </w:r>
          </w:p>
        </w:tc>
      </w:tr>
      <w:tr w:rsidR="00C93E0C" w:rsidRPr="00C93E0C" w:rsidTr="00E970B4">
        <w:trPr>
          <w:trHeight w:val="1696"/>
        </w:trPr>
        <w:tc>
          <w:tcPr>
            <w:tcW w:w="3116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noProof/>
                <w:szCs w:val="24"/>
                <w:lang w:val="lt-LT"/>
              </w:rPr>
              <w:drawing>
                <wp:anchor distT="0" distB="0" distL="114300" distR="114300" simplePos="0" relativeHeight="251663360" behindDoc="0" locked="0" layoutInCell="1" allowOverlap="1" wp14:anchorId="01D3DF7A" wp14:editId="3830FB80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120015</wp:posOffset>
                  </wp:positionV>
                  <wp:extent cx="906780" cy="918210"/>
                  <wp:effectExtent l="0" t="0" r="7620" b="0"/>
                  <wp:wrapTopAndBottom/>
                  <wp:docPr id="12" name="Paveikslėlis 29" descr="Por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98" r="70080"/>
                          <a:stretch/>
                        </pic:blipFill>
                        <pic:spPr bwMode="auto">
                          <a:xfrm>
                            <a:off x="0" y="0"/>
                            <a:ext cx="90678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  <w:r w:rsidRPr="00C93E0C">
        <w:rPr>
          <w:rFonts w:eastAsia="Calibri" w:cs="Times New Roman"/>
          <w:noProof/>
          <w:color w:val="1F1F1F"/>
          <w:szCs w:val="24"/>
          <w:lang w:val="lt-LT"/>
        </w:rPr>
        <w:drawing>
          <wp:inline distT="0" distB="0" distL="0" distR="0" wp14:anchorId="3AAA44F6" wp14:editId="31245F72">
            <wp:extent cx="2753629" cy="2180493"/>
            <wp:effectExtent l="0" t="0" r="8890" b="0"/>
            <wp:docPr id="13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3" cy="219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3E0C">
        <w:rPr>
          <w:rFonts w:eastAsia="Calibri" w:cs="Times New Roman"/>
          <w:color w:val="1F1F1F"/>
          <w:szCs w:val="24"/>
          <w:lang w:val="lt-LT" w:eastAsia="en-US"/>
        </w:rPr>
        <w:t>D</w:t>
      </w:r>
    </w:p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  <w:r w:rsidRPr="00C93E0C">
        <w:rPr>
          <w:rFonts w:eastAsia="Calibri" w:cs="Times New Roman"/>
          <w:noProof/>
          <w:color w:val="1F1F1F"/>
          <w:szCs w:val="24"/>
          <w:lang w:val="lt-LT"/>
        </w:rPr>
        <w:drawing>
          <wp:inline distT="0" distB="0" distL="0" distR="0" wp14:anchorId="32EEE9A7" wp14:editId="12868BCE">
            <wp:extent cx="3027245" cy="2332449"/>
            <wp:effectExtent l="0" t="0" r="1905" b="0"/>
            <wp:docPr id="14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/>
                    <a:stretch/>
                  </pic:blipFill>
                  <pic:spPr bwMode="auto">
                    <a:xfrm>
                      <a:off x="0" y="0"/>
                      <a:ext cx="3030086" cy="233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E0C">
        <w:rPr>
          <w:rFonts w:eastAsia="Calibri" w:cs="Times New Roman"/>
          <w:color w:val="1F1F1F"/>
          <w:szCs w:val="24"/>
          <w:lang w:val="lt-LT" w:eastAsia="en-US"/>
        </w:rPr>
        <w:t>E</w:t>
      </w:r>
    </w:p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  <w:r w:rsidRPr="00C93E0C">
        <w:rPr>
          <w:rFonts w:eastAsia="Calibri" w:cs="Times New Roman"/>
          <w:color w:val="1F1F1F"/>
          <w:szCs w:val="24"/>
          <w:lang w:val="lt-LT" w:eastAsia="en-US"/>
        </w:rPr>
        <w:lastRenderedPageBreak/>
        <w:t>Pav.</w:t>
      </w:r>
      <w:r>
        <w:rPr>
          <w:rFonts w:eastAsia="Calibri" w:cs="Times New Roman"/>
          <w:color w:val="1F1F1F"/>
          <w:szCs w:val="24"/>
          <w:lang w:val="lt-LT" w:eastAsia="en-US"/>
        </w:rPr>
        <w:t xml:space="preserve"> </w:t>
      </w:r>
      <w:r w:rsidRPr="00C93E0C">
        <w:rPr>
          <w:rFonts w:eastAsia="Calibri" w:cs="Times New Roman"/>
          <w:color w:val="1F1F1F"/>
          <w:szCs w:val="24"/>
          <w:lang w:val="lt-LT" w:eastAsia="en-US"/>
        </w:rPr>
        <w:t>D  Absorbcijos koeficiento priklausomybė nuo dažnio esant skirtingiems tos pačios medžiagos tankiams.</w:t>
      </w:r>
    </w:p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  <w:r w:rsidRPr="00C93E0C">
        <w:rPr>
          <w:rFonts w:eastAsia="Calibri" w:cs="Times New Roman"/>
          <w:color w:val="1F1F1F"/>
          <w:szCs w:val="24"/>
          <w:lang w:val="lt-LT" w:eastAsia="en-US"/>
        </w:rPr>
        <w:t xml:space="preserve">Pav. E Tos pačios medžiagos absorbcijos koeficiento priklausomybė nuo dažnio esant skirtingam </w:t>
      </w:r>
      <w:bookmarkStart w:id="0" w:name="_GoBack"/>
      <w:r w:rsidRPr="00C93E0C">
        <w:rPr>
          <w:rFonts w:eastAsia="Calibri" w:cs="Times New Roman"/>
          <w:color w:val="1F1F1F"/>
          <w:szCs w:val="24"/>
          <w:lang w:val="lt-LT" w:eastAsia="en-US"/>
        </w:rPr>
        <w:t xml:space="preserve">porų dydžiui </w:t>
      </w:r>
    </w:p>
    <w:bookmarkEnd w:id="0"/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Default="00C93E0C" w:rsidP="00C93E0C">
      <w:pPr>
        <w:spacing w:after="160" w:line="259" w:lineRule="auto"/>
        <w:jc w:val="left"/>
        <w:rPr>
          <w:rFonts w:eastAsia="Calibri" w:cs="Times New Roman"/>
          <w:color w:val="1F1F1F"/>
          <w:szCs w:val="24"/>
          <w:lang w:val="lt-LT" w:eastAsia="en-US"/>
        </w:rPr>
      </w:pPr>
    </w:p>
    <w:p w:rsidR="00C93E0C" w:rsidRPr="00C93E0C" w:rsidRDefault="00C93E0C" w:rsidP="00C93E0C">
      <w:pPr>
        <w:spacing w:after="160" w:line="259" w:lineRule="auto"/>
        <w:jc w:val="left"/>
        <w:rPr>
          <w:rFonts w:eastAsia="Calibri" w:cs="Times New Roman"/>
          <w:szCs w:val="24"/>
          <w:lang w:val="lt-LT" w:eastAsia="en-US"/>
        </w:rPr>
      </w:pPr>
      <w:r w:rsidRPr="00C93E0C">
        <w:rPr>
          <w:rFonts w:eastAsia="Calibri" w:cs="Times New Roman"/>
          <w:szCs w:val="24"/>
          <w:lang w:val="lt-LT" w:eastAsia="en-US"/>
        </w:rPr>
        <w:t xml:space="preserve">8.Pateikite pavyzdžių, kur galima stebėti šiuos reiškinius įvairių rūšių bangoms. 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4"/>
        <w:gridCol w:w="2127"/>
      </w:tblGrid>
      <w:tr w:rsidR="00C93E0C" w:rsidRPr="00C93E0C" w:rsidTr="00E970B4">
        <w:trPr>
          <w:trHeight w:val="368"/>
        </w:trPr>
        <w:tc>
          <w:tcPr>
            <w:tcW w:w="1980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>Atspindys</w:t>
            </w: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>Difrakcija</w:t>
            </w:r>
          </w:p>
        </w:tc>
        <w:tc>
          <w:tcPr>
            <w:tcW w:w="198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>Absorbcija</w:t>
            </w: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>Pralaidumas</w:t>
            </w:r>
          </w:p>
        </w:tc>
        <w:tc>
          <w:tcPr>
            <w:tcW w:w="2127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  <w:r w:rsidRPr="00C93E0C">
              <w:rPr>
                <w:rFonts w:eastAsia="Calibri" w:cs="Times New Roman"/>
                <w:szCs w:val="24"/>
                <w:lang w:val="lt-LT" w:eastAsia="en-US"/>
              </w:rPr>
              <w:t>Išsklaidymas</w:t>
            </w:r>
          </w:p>
        </w:tc>
      </w:tr>
      <w:tr w:rsidR="00C93E0C" w:rsidRPr="00C93E0C" w:rsidTr="00C93E0C">
        <w:trPr>
          <w:trHeight w:val="737"/>
        </w:trPr>
        <w:tc>
          <w:tcPr>
            <w:tcW w:w="1980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2127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</w:tr>
      <w:tr w:rsidR="00C93E0C" w:rsidRPr="00C93E0C" w:rsidTr="00C93E0C">
        <w:trPr>
          <w:trHeight w:val="737"/>
        </w:trPr>
        <w:tc>
          <w:tcPr>
            <w:tcW w:w="1980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2127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</w:tr>
      <w:tr w:rsidR="00C93E0C" w:rsidRPr="00C93E0C" w:rsidTr="00C93E0C">
        <w:trPr>
          <w:trHeight w:val="737"/>
        </w:trPr>
        <w:tc>
          <w:tcPr>
            <w:tcW w:w="1980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2127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</w:tr>
      <w:tr w:rsidR="00C93E0C" w:rsidRPr="00C93E0C" w:rsidTr="00C93E0C">
        <w:trPr>
          <w:trHeight w:val="737"/>
        </w:trPr>
        <w:tc>
          <w:tcPr>
            <w:tcW w:w="1980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5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1984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  <w:tc>
          <w:tcPr>
            <w:tcW w:w="2127" w:type="dxa"/>
          </w:tcPr>
          <w:p w:rsidR="00C93E0C" w:rsidRPr="00C93E0C" w:rsidRDefault="00C93E0C" w:rsidP="00C93E0C">
            <w:pPr>
              <w:jc w:val="left"/>
              <w:rPr>
                <w:rFonts w:eastAsia="Calibri" w:cs="Times New Roman"/>
                <w:szCs w:val="24"/>
                <w:lang w:val="lt-LT" w:eastAsia="en-US"/>
              </w:rPr>
            </w:pPr>
          </w:p>
        </w:tc>
      </w:tr>
    </w:tbl>
    <w:p w:rsidR="000C688D" w:rsidRDefault="000C688D"/>
    <w:sectPr w:rsidR="000C688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16763"/>
    <w:multiLevelType w:val="hybridMultilevel"/>
    <w:tmpl w:val="7CC4DA5A"/>
    <w:lvl w:ilvl="0" w:tplc="43B633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C07562"/>
    <w:multiLevelType w:val="hybridMultilevel"/>
    <w:tmpl w:val="7B866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E0C"/>
    <w:rsid w:val="000C688D"/>
    <w:rsid w:val="0014077E"/>
    <w:rsid w:val="00680D2C"/>
    <w:rsid w:val="007A40CC"/>
    <w:rsid w:val="00C93E0C"/>
    <w:rsid w:val="00E0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77E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3E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3E0C"/>
    <w:pPr>
      <w:spacing w:after="0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3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E0C"/>
    <w:rPr>
      <w:rFonts w:ascii="Tahoma" w:hAnsi="Tahoma" w:cs="Tahoma"/>
      <w:sz w:val="16"/>
      <w:szCs w:val="16"/>
      <w:lang w:val="lt"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C93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77E"/>
    <w:pPr>
      <w:spacing w:after="0"/>
      <w:jc w:val="both"/>
    </w:pPr>
    <w:rPr>
      <w:rFonts w:ascii="Times New Roman" w:hAnsi="Times New Roman" w:cs="Arial"/>
      <w:sz w:val="24"/>
      <w:lang w:val="lt"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3E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3E0C"/>
    <w:pPr>
      <w:spacing w:after="0" w:line="240" w:lineRule="auto"/>
    </w:pPr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3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E0C"/>
    <w:rPr>
      <w:rFonts w:ascii="Tahoma" w:hAnsi="Tahoma" w:cs="Tahoma"/>
      <w:sz w:val="16"/>
      <w:szCs w:val="16"/>
      <w:lang w:val="lt"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C93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7DD360A5AE058E48B608F8E82876A3B4" ma:contentTypeVersion="18" ma:contentTypeDescription="Kurkite naują dokumentą." ma:contentTypeScope="" ma:versionID="26fc5c602d4d596b3cb2a94064e94b74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6bda12bc8914fbe4382e198e6abd87f4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Vaizdų žymė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Props1.xml><?xml version="1.0" encoding="utf-8"?>
<ds:datastoreItem xmlns:ds="http://schemas.openxmlformats.org/officeDocument/2006/customXml" ds:itemID="{43039FF3-BFE4-48E3-9325-06B47AC5090B}"/>
</file>

<file path=customXml/itemProps2.xml><?xml version="1.0" encoding="utf-8"?>
<ds:datastoreItem xmlns:ds="http://schemas.openxmlformats.org/officeDocument/2006/customXml" ds:itemID="{2FEBEDEF-C005-4C48-8C0D-98DDAA6DB0C4}"/>
</file>

<file path=customXml/itemProps3.xml><?xml version="1.0" encoding="utf-8"?>
<ds:datastoreItem xmlns:ds="http://schemas.openxmlformats.org/officeDocument/2006/customXml" ds:itemID="{F7F4FBC3-ED4B-4804-8B7C-5C0A11848C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819</Words>
  <Characters>467</Characters>
  <Application>Microsoft Office Word</Application>
  <DocSecurity>0</DocSecurity>
  <Lines>3</Lines>
  <Paragraphs>2</Paragraphs>
  <ScaleCrop>false</ScaleCrop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2024-09-04T12:12:00Z</dcterms:created>
  <dcterms:modified xsi:type="dcterms:W3CDTF">2024-09-04T12:15:00Z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</Properties>
</file>