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8E" w:rsidRPr="0009198E" w:rsidRDefault="0009198E" w:rsidP="0009198E">
      <w:pPr>
        <w:spacing w:after="160" w:line="259" w:lineRule="auto"/>
        <w:jc w:val="left"/>
        <w:rPr>
          <w:rFonts w:eastAsia="Calibri" w:cs="Times New Roman"/>
          <w:b/>
          <w:szCs w:val="24"/>
          <w:lang w:val="lt-LT" w:eastAsia="en-US"/>
        </w:rPr>
      </w:pPr>
      <w:r w:rsidRPr="0009198E">
        <w:rPr>
          <w:rFonts w:eastAsia="Calibri" w:cs="Times New Roman"/>
          <w:b/>
          <w:szCs w:val="24"/>
          <w:lang w:val="lt-LT" w:eastAsia="en-US"/>
        </w:rPr>
        <w:t>PAMOKŲ SCENARIJAI</w:t>
      </w:r>
      <w:r w:rsidR="00C043A1" w:rsidRPr="00AD26AB">
        <w:rPr>
          <w:rFonts w:eastAsia="Calibri" w:cs="Times New Roman"/>
          <w:b/>
          <w:szCs w:val="24"/>
          <w:lang w:val="lt-LT" w:eastAsia="en-US"/>
        </w:rPr>
        <w:t xml:space="preserve"> ir užduočių atsakymai</w:t>
      </w:r>
    </w:p>
    <w:tbl>
      <w:tblPr>
        <w:tblStyle w:val="TableGrid1"/>
        <w:tblW w:w="0" w:type="auto"/>
        <w:tblLook w:val="04A0" w:firstRow="1" w:lastRow="0" w:firstColumn="1" w:lastColumn="0" w:noHBand="0" w:noVBand="1"/>
      </w:tblPr>
      <w:tblGrid>
        <w:gridCol w:w="9854"/>
      </w:tblGrid>
      <w:tr w:rsidR="0009198E" w:rsidRPr="0009198E" w:rsidTr="00E970B4">
        <w:tc>
          <w:tcPr>
            <w:tcW w:w="14390" w:type="dxa"/>
          </w:tcPr>
          <w:p w:rsidR="0009198E" w:rsidRPr="0009198E" w:rsidRDefault="0009198E" w:rsidP="00A85AE0">
            <w:pPr>
              <w:jc w:val="left"/>
              <w:rPr>
                <w:rFonts w:eastAsia="Calibri" w:cs="Times New Roman"/>
                <w:b/>
                <w:szCs w:val="24"/>
                <w:lang w:val="lt-LT" w:eastAsia="en-US"/>
              </w:rPr>
            </w:pPr>
            <w:r w:rsidRPr="0009198E">
              <w:rPr>
                <w:rFonts w:eastAsia="Calibri" w:cs="Times New Roman"/>
                <w:b/>
                <w:szCs w:val="24"/>
                <w:lang w:val="lt-LT" w:eastAsia="en-US"/>
              </w:rPr>
              <w:t>TEMA</w:t>
            </w:r>
            <w:r w:rsidR="00293F45" w:rsidRPr="00AD26AB">
              <w:rPr>
                <w:rFonts w:eastAsia="Calibri" w:cs="Times New Roman"/>
                <w:b/>
                <w:szCs w:val="24"/>
                <w:lang w:val="lt-LT" w:eastAsia="en-US"/>
              </w:rPr>
              <w:t xml:space="preserve"> </w:t>
            </w:r>
            <w:r w:rsidR="00A85AE0" w:rsidRPr="00AD26AB">
              <w:rPr>
                <w:rFonts w:eastAsia="Calibri" w:cs="Times New Roman"/>
                <w:b/>
                <w:szCs w:val="24"/>
                <w:lang w:val="lt-LT" w:eastAsia="en-US"/>
              </w:rPr>
              <w:t>Įvadas į</w:t>
            </w:r>
            <w:r w:rsidR="00A85AE0" w:rsidRPr="00AD26AB">
              <w:rPr>
                <w:rFonts w:eastAsia="Calibri" w:cs="Times New Roman"/>
                <w:b/>
                <w:szCs w:val="24"/>
                <w:lang w:val="lt-LT" w:eastAsia="en-US"/>
              </w:rPr>
              <w:t xml:space="preserve"> </w:t>
            </w:r>
            <w:r w:rsidR="00A85AE0" w:rsidRPr="00AD26AB">
              <w:rPr>
                <w:rFonts w:eastAsia="Calibri" w:cs="Times New Roman"/>
                <w:b/>
                <w:szCs w:val="24"/>
                <w:lang w:val="lt-LT" w:eastAsia="en-US"/>
              </w:rPr>
              <w:t>reliatyvumo</w:t>
            </w:r>
            <w:r w:rsidR="00A85AE0" w:rsidRPr="00AD26AB">
              <w:rPr>
                <w:rFonts w:eastAsia="Calibri" w:cs="Times New Roman"/>
                <w:b/>
                <w:szCs w:val="24"/>
                <w:lang w:val="lt-LT" w:eastAsia="en-US"/>
              </w:rPr>
              <w:t xml:space="preserve"> </w:t>
            </w:r>
            <w:r w:rsidR="00A85AE0" w:rsidRPr="00AD26AB">
              <w:rPr>
                <w:rFonts w:eastAsia="Calibri" w:cs="Times New Roman"/>
                <w:b/>
                <w:szCs w:val="24"/>
                <w:lang w:val="lt-LT" w:eastAsia="en-US"/>
              </w:rPr>
              <w:t>teoriją</w:t>
            </w:r>
          </w:p>
        </w:tc>
      </w:tr>
      <w:tr w:rsidR="0009198E" w:rsidRPr="0009198E" w:rsidTr="00E970B4">
        <w:trPr>
          <w:trHeight w:val="62"/>
        </w:trPr>
        <w:tc>
          <w:tcPr>
            <w:tcW w:w="14390" w:type="dxa"/>
          </w:tcPr>
          <w:p w:rsidR="0009198E" w:rsidRPr="0009198E" w:rsidRDefault="0009198E" w:rsidP="00293F45">
            <w:pPr>
              <w:jc w:val="left"/>
              <w:rPr>
                <w:rFonts w:eastAsia="Calibri" w:cs="Times New Roman"/>
                <w:b/>
                <w:szCs w:val="24"/>
                <w:lang w:val="lt-LT" w:eastAsia="en-US"/>
              </w:rPr>
            </w:pPr>
            <w:r w:rsidRPr="0009198E">
              <w:rPr>
                <w:rFonts w:eastAsia="Times New Roman" w:cs="Times New Roman"/>
                <w:b/>
                <w:color w:val="000000"/>
                <w:szCs w:val="24"/>
                <w:lang w:val="lt-LT"/>
              </w:rPr>
              <w:t xml:space="preserve"> (</w:t>
            </w:r>
            <w:r w:rsidR="00293F45" w:rsidRPr="00AD26AB">
              <w:rPr>
                <w:rFonts w:eastAsia="Times New Roman" w:cs="Times New Roman"/>
                <w:b/>
                <w:color w:val="000000"/>
                <w:szCs w:val="24"/>
                <w:lang w:val="lt-LT"/>
              </w:rPr>
              <w:t xml:space="preserve">1 </w:t>
            </w:r>
            <w:r w:rsidRPr="0009198E">
              <w:rPr>
                <w:rFonts w:eastAsia="Times New Roman" w:cs="Times New Roman"/>
                <w:b/>
                <w:color w:val="000000"/>
                <w:szCs w:val="24"/>
                <w:lang w:val="lt-LT"/>
              </w:rPr>
              <w:t>pam)</w:t>
            </w:r>
          </w:p>
        </w:tc>
      </w:tr>
    </w:tbl>
    <w:p w:rsidR="0009198E" w:rsidRPr="0009198E" w:rsidRDefault="0009198E" w:rsidP="0009198E">
      <w:pPr>
        <w:spacing w:after="160" w:line="259" w:lineRule="auto"/>
        <w:jc w:val="left"/>
        <w:rPr>
          <w:rFonts w:eastAsia="Calibri" w:cs="Times New Roman"/>
          <w:b/>
          <w:szCs w:val="24"/>
          <w:lang w:val="lt-LT" w:eastAsia="en-US"/>
        </w:rPr>
      </w:pPr>
    </w:p>
    <w:tbl>
      <w:tblPr>
        <w:tblStyle w:val="TableGrid1"/>
        <w:tblW w:w="0" w:type="auto"/>
        <w:tblLook w:val="04A0" w:firstRow="1" w:lastRow="0" w:firstColumn="1" w:lastColumn="0" w:noHBand="0" w:noVBand="1"/>
      </w:tblPr>
      <w:tblGrid>
        <w:gridCol w:w="1839"/>
        <w:gridCol w:w="8015"/>
      </w:tblGrid>
      <w:tr w:rsidR="0009198E" w:rsidRPr="0009198E" w:rsidTr="00E970B4">
        <w:tc>
          <w:tcPr>
            <w:tcW w:w="1906" w:type="dxa"/>
          </w:tcPr>
          <w:p w:rsidR="0009198E" w:rsidRPr="0009198E" w:rsidRDefault="0009198E" w:rsidP="0009198E">
            <w:pPr>
              <w:jc w:val="left"/>
              <w:rPr>
                <w:rFonts w:eastAsia="Calibri" w:cs="Times New Roman"/>
                <w:b/>
                <w:szCs w:val="24"/>
                <w:lang w:val="lt-LT" w:eastAsia="en-US"/>
              </w:rPr>
            </w:pPr>
            <w:r w:rsidRPr="0009198E">
              <w:rPr>
                <w:rFonts w:eastAsia="Calibri" w:cs="Times New Roman"/>
                <w:b/>
                <w:szCs w:val="24"/>
                <w:lang w:val="lt-LT" w:eastAsia="en-US"/>
              </w:rPr>
              <w:t>Klasė, kuriai skirta(-os) pamoka (-os)</w:t>
            </w:r>
          </w:p>
        </w:tc>
        <w:tc>
          <w:tcPr>
            <w:tcW w:w="8884" w:type="dxa"/>
          </w:tcPr>
          <w:p w:rsidR="0009198E" w:rsidRPr="0009198E" w:rsidRDefault="0009198E" w:rsidP="0009198E">
            <w:pPr>
              <w:jc w:val="left"/>
              <w:rPr>
                <w:rFonts w:eastAsia="Calibri" w:cs="Times New Roman"/>
                <w:szCs w:val="24"/>
                <w:lang w:val="lt-LT" w:eastAsia="en-US"/>
              </w:rPr>
            </w:pPr>
            <w:r w:rsidRPr="0009198E">
              <w:rPr>
                <w:rFonts w:eastAsia="Calibri" w:cs="Times New Roman"/>
                <w:b/>
                <w:szCs w:val="24"/>
                <w:lang w:val="lt-LT" w:eastAsia="en-US"/>
              </w:rPr>
              <w:t xml:space="preserve"> </w:t>
            </w:r>
            <w:r w:rsidRPr="0009198E">
              <w:rPr>
                <w:rFonts w:eastAsia="Calibri" w:cs="Times New Roman"/>
                <w:szCs w:val="24"/>
                <w:lang w:val="lt-LT" w:eastAsia="en-US"/>
              </w:rPr>
              <w:t>12 (IV gimnazinė) klasė</w:t>
            </w:r>
          </w:p>
        </w:tc>
      </w:tr>
      <w:tr w:rsidR="0009198E" w:rsidRPr="0009198E" w:rsidTr="00E970B4">
        <w:tc>
          <w:tcPr>
            <w:tcW w:w="1906" w:type="dxa"/>
          </w:tcPr>
          <w:p w:rsidR="0009198E" w:rsidRPr="0009198E" w:rsidRDefault="0009198E" w:rsidP="0009198E">
            <w:pPr>
              <w:jc w:val="left"/>
              <w:rPr>
                <w:rFonts w:eastAsia="Calibri" w:cs="Times New Roman"/>
                <w:b/>
                <w:szCs w:val="24"/>
                <w:lang w:val="lt-LT" w:eastAsia="en-US"/>
              </w:rPr>
            </w:pPr>
            <w:r w:rsidRPr="0009198E">
              <w:rPr>
                <w:rFonts w:eastAsia="Calibri" w:cs="Times New Roman"/>
                <w:b/>
                <w:szCs w:val="24"/>
                <w:lang w:val="lt-LT" w:eastAsia="en-US"/>
              </w:rPr>
              <w:t>Anotacija</w:t>
            </w:r>
          </w:p>
        </w:tc>
        <w:tc>
          <w:tcPr>
            <w:tcW w:w="8884" w:type="dxa"/>
          </w:tcPr>
          <w:p w:rsidR="0009198E" w:rsidRPr="0009198E" w:rsidRDefault="00A85AE0" w:rsidP="0009198E">
            <w:pPr>
              <w:jc w:val="left"/>
              <w:rPr>
                <w:rFonts w:eastAsia="Calibri" w:cs="Times New Roman"/>
                <w:color w:val="000000"/>
                <w:szCs w:val="24"/>
                <w:lang w:val="lt-LT" w:eastAsia="en-US"/>
              </w:rPr>
            </w:pPr>
            <w:r w:rsidRPr="00AD26AB">
              <w:rPr>
                <w:rFonts w:eastAsia="Calibri" w:cs="Times New Roman"/>
                <w:color w:val="000000"/>
                <w:szCs w:val="24"/>
                <w:lang w:val="lt-LT" w:eastAsia="en-US"/>
              </w:rPr>
              <w:t>Pamoka susideda iš vaizdinės medžiagos, nuorodų į papildomus šaltinius, spausdinimui paruošto užduočių lapo mokiniams.</w:t>
            </w:r>
          </w:p>
        </w:tc>
      </w:tr>
      <w:tr w:rsidR="0009198E" w:rsidRPr="0009198E" w:rsidTr="00E970B4">
        <w:tc>
          <w:tcPr>
            <w:tcW w:w="1906" w:type="dxa"/>
          </w:tcPr>
          <w:p w:rsidR="0009198E" w:rsidRPr="0009198E" w:rsidRDefault="0009198E" w:rsidP="0009198E">
            <w:pPr>
              <w:jc w:val="left"/>
              <w:rPr>
                <w:rFonts w:eastAsia="Calibri" w:cs="Times New Roman"/>
                <w:b/>
                <w:szCs w:val="24"/>
                <w:lang w:val="lt-LT" w:eastAsia="en-US"/>
              </w:rPr>
            </w:pPr>
            <w:r w:rsidRPr="0009198E">
              <w:rPr>
                <w:rFonts w:eastAsia="Calibri" w:cs="Times New Roman"/>
                <w:b/>
                <w:szCs w:val="24"/>
                <w:lang w:val="lt-LT" w:eastAsia="en-US"/>
              </w:rPr>
              <w:t>Parengimo terminai</w:t>
            </w:r>
          </w:p>
        </w:tc>
        <w:tc>
          <w:tcPr>
            <w:tcW w:w="8884" w:type="dxa"/>
          </w:tcPr>
          <w:p w:rsidR="0009198E" w:rsidRPr="0009198E" w:rsidRDefault="0009198E" w:rsidP="0009198E">
            <w:pPr>
              <w:jc w:val="left"/>
              <w:rPr>
                <w:rFonts w:eastAsia="Calibri" w:cs="Times New Roman"/>
                <w:b/>
                <w:szCs w:val="24"/>
                <w:lang w:val="lt-LT" w:eastAsia="en-US"/>
              </w:rPr>
            </w:pPr>
          </w:p>
        </w:tc>
      </w:tr>
    </w:tbl>
    <w:p w:rsidR="0009198E" w:rsidRPr="0009198E" w:rsidRDefault="0009198E" w:rsidP="0009198E">
      <w:pPr>
        <w:spacing w:line="240" w:lineRule="auto"/>
        <w:jc w:val="left"/>
        <w:rPr>
          <w:rFonts w:eastAsia="Times New Roman" w:cs="Times New Roman"/>
          <w:color w:val="000000"/>
          <w:szCs w:val="24"/>
          <w:lang w:val="lt-LT"/>
        </w:rPr>
      </w:pPr>
    </w:p>
    <w:p w:rsidR="0009198E" w:rsidRPr="0009198E" w:rsidRDefault="0009198E" w:rsidP="0009198E">
      <w:pPr>
        <w:spacing w:line="240" w:lineRule="auto"/>
        <w:jc w:val="left"/>
        <w:rPr>
          <w:rFonts w:eastAsia="Times New Roman" w:cs="Times New Roman"/>
          <w:b/>
          <w:color w:val="000000"/>
          <w:szCs w:val="24"/>
          <w:lang w:val="lt-LT"/>
        </w:rPr>
      </w:pPr>
      <w:r w:rsidRPr="0009198E">
        <w:rPr>
          <w:rFonts w:eastAsia="Times New Roman" w:cs="Times New Roman"/>
          <w:b/>
          <w:color w:val="000000"/>
          <w:szCs w:val="24"/>
          <w:lang w:val="lt-LT"/>
        </w:rPr>
        <w:t xml:space="preserve">1 pamoka </w:t>
      </w:r>
    </w:p>
    <w:tbl>
      <w:tblPr>
        <w:tblStyle w:val="TableGrid1"/>
        <w:tblW w:w="9889" w:type="dxa"/>
        <w:tblLayout w:type="fixed"/>
        <w:tblLook w:val="04A0" w:firstRow="1" w:lastRow="0" w:firstColumn="1" w:lastColumn="0" w:noHBand="0" w:noVBand="1"/>
      </w:tblPr>
      <w:tblGrid>
        <w:gridCol w:w="1838"/>
        <w:gridCol w:w="7201"/>
        <w:gridCol w:w="850"/>
      </w:tblGrid>
      <w:tr w:rsidR="0009198E" w:rsidRPr="0009198E" w:rsidTr="00CB3F0A">
        <w:tc>
          <w:tcPr>
            <w:tcW w:w="1838" w:type="dxa"/>
          </w:tcPr>
          <w:p w:rsidR="0009198E" w:rsidRPr="0009198E" w:rsidRDefault="0009198E" w:rsidP="0009198E">
            <w:pPr>
              <w:jc w:val="left"/>
              <w:rPr>
                <w:rFonts w:eastAsia="Calibri" w:cs="Times New Roman"/>
                <w:szCs w:val="24"/>
                <w:lang w:val="lt-LT" w:eastAsia="en-US"/>
              </w:rPr>
            </w:pPr>
            <w:r w:rsidRPr="0009198E">
              <w:rPr>
                <w:rFonts w:eastAsia="Calibri" w:cs="Times New Roman"/>
                <w:szCs w:val="24"/>
                <w:lang w:val="lt-LT" w:eastAsia="en-US"/>
              </w:rPr>
              <w:t>Pamokos tema</w:t>
            </w:r>
          </w:p>
        </w:tc>
        <w:tc>
          <w:tcPr>
            <w:tcW w:w="8051" w:type="dxa"/>
            <w:gridSpan w:val="2"/>
          </w:tcPr>
          <w:p w:rsidR="0009198E" w:rsidRPr="0009198E" w:rsidRDefault="00A85AE0" w:rsidP="0009198E">
            <w:pPr>
              <w:jc w:val="left"/>
              <w:rPr>
                <w:rFonts w:eastAsia="Calibri" w:cs="Times New Roman"/>
                <w:b/>
                <w:szCs w:val="24"/>
                <w:lang w:val="lt-LT" w:eastAsia="en-US"/>
              </w:rPr>
            </w:pPr>
            <w:r w:rsidRPr="00AD26AB">
              <w:rPr>
                <w:rFonts w:cs="Times New Roman"/>
                <w:b/>
                <w:color w:val="000000"/>
                <w:szCs w:val="24"/>
              </w:rPr>
              <w:t>Bendroji ir specialioji reliatyvumo teorijos</w:t>
            </w:r>
          </w:p>
        </w:tc>
      </w:tr>
      <w:tr w:rsidR="0009198E" w:rsidRPr="0009198E" w:rsidTr="00CB3F0A">
        <w:tc>
          <w:tcPr>
            <w:tcW w:w="1838" w:type="dxa"/>
          </w:tcPr>
          <w:p w:rsidR="0009198E" w:rsidRPr="0009198E" w:rsidRDefault="0009198E" w:rsidP="0009198E">
            <w:pPr>
              <w:jc w:val="left"/>
              <w:rPr>
                <w:rFonts w:eastAsia="Calibri" w:cs="Times New Roman"/>
                <w:szCs w:val="24"/>
                <w:lang w:val="lt-LT" w:eastAsia="en-US"/>
              </w:rPr>
            </w:pPr>
            <w:r w:rsidRPr="0009198E">
              <w:rPr>
                <w:rFonts w:eastAsia="Calibri" w:cs="Times New Roman"/>
                <w:szCs w:val="24"/>
                <w:lang w:val="lt-LT" w:eastAsia="en-US"/>
              </w:rPr>
              <w:t>Ugdymo uždaviniai</w:t>
            </w:r>
          </w:p>
        </w:tc>
        <w:tc>
          <w:tcPr>
            <w:tcW w:w="7201" w:type="dxa"/>
          </w:tcPr>
          <w:p w:rsidR="0009198E" w:rsidRPr="0009198E" w:rsidRDefault="00293F45" w:rsidP="00293F45">
            <w:pPr>
              <w:jc w:val="left"/>
              <w:rPr>
                <w:rFonts w:eastAsia="Calibri" w:cs="Times New Roman"/>
                <w:szCs w:val="24"/>
                <w:lang w:val="lt-LT" w:eastAsia="en-US"/>
              </w:rPr>
            </w:pPr>
            <w:r w:rsidRPr="00AD26AB">
              <w:rPr>
                <w:rFonts w:eastAsia="Calibri" w:cs="Times New Roman"/>
                <w:szCs w:val="24"/>
                <w:lang w:val="lt-LT" w:eastAsia="en-US"/>
              </w:rPr>
              <w:t>BP: Apibrėžiami du specialiosios reliatyvumo teorijos postulatai. Aptariamos bendroji ir specialioji reliatyvumo teorijos.</w:t>
            </w:r>
          </w:p>
        </w:tc>
        <w:tc>
          <w:tcPr>
            <w:tcW w:w="850" w:type="dxa"/>
          </w:tcPr>
          <w:p w:rsidR="0009198E" w:rsidRPr="0009198E" w:rsidRDefault="0009198E" w:rsidP="0009198E">
            <w:pPr>
              <w:jc w:val="left"/>
              <w:rPr>
                <w:rFonts w:eastAsia="Calibri" w:cs="Times New Roman"/>
                <w:b/>
                <w:szCs w:val="24"/>
                <w:lang w:val="lt-LT" w:eastAsia="en-US"/>
              </w:rPr>
            </w:pPr>
          </w:p>
        </w:tc>
      </w:tr>
      <w:tr w:rsidR="0009198E" w:rsidRPr="0009198E" w:rsidTr="00CB3F0A">
        <w:tc>
          <w:tcPr>
            <w:tcW w:w="1838" w:type="dxa"/>
          </w:tcPr>
          <w:p w:rsidR="0009198E" w:rsidRPr="0009198E" w:rsidRDefault="0009198E" w:rsidP="0009198E">
            <w:pPr>
              <w:jc w:val="left"/>
              <w:rPr>
                <w:rFonts w:eastAsia="Calibri" w:cs="Times New Roman"/>
                <w:szCs w:val="24"/>
                <w:lang w:val="lt-LT" w:eastAsia="en-US"/>
              </w:rPr>
            </w:pPr>
            <w:r w:rsidRPr="0009198E">
              <w:rPr>
                <w:rFonts w:eastAsia="Calibri" w:cs="Times New Roman"/>
                <w:szCs w:val="24"/>
                <w:lang w:val="lt-LT" w:eastAsia="en-US"/>
              </w:rPr>
              <w:t>Mokymo(-si) turinys</w:t>
            </w:r>
          </w:p>
        </w:tc>
        <w:tc>
          <w:tcPr>
            <w:tcW w:w="7201" w:type="dxa"/>
          </w:tcPr>
          <w:p w:rsidR="00E86661" w:rsidRPr="00AD26AB" w:rsidRDefault="00E86661" w:rsidP="00C4163C">
            <w:pPr>
              <w:jc w:val="left"/>
              <w:rPr>
                <w:rFonts w:eastAsia="Calibri" w:cs="Times New Roman"/>
                <w:szCs w:val="24"/>
                <w:lang w:val="lt-LT" w:eastAsia="en-US"/>
              </w:rPr>
            </w:pPr>
            <w:r w:rsidRPr="00AD26AB">
              <w:rPr>
                <w:rFonts w:eastAsia="Calibri" w:cs="Times New Roman"/>
                <w:szCs w:val="24"/>
                <w:lang w:val="lt-LT" w:eastAsia="en-US"/>
              </w:rPr>
              <w:t>Prieš a</w:t>
            </w:r>
            <w:r w:rsidR="00C4163C" w:rsidRPr="00AD26AB">
              <w:rPr>
                <w:rFonts w:eastAsia="Calibri" w:cs="Times New Roman"/>
                <w:szCs w:val="24"/>
                <w:lang w:val="lt-LT" w:eastAsia="en-US"/>
              </w:rPr>
              <w:t>iškinantis reliatyvumo teoriją</w:t>
            </w:r>
            <w:r w:rsidRPr="00AD26AB">
              <w:rPr>
                <w:rFonts w:eastAsia="Calibri" w:cs="Times New Roman"/>
                <w:szCs w:val="24"/>
                <w:lang w:val="lt-LT" w:eastAsia="en-US"/>
              </w:rPr>
              <w:t xml:space="preserve">, </w:t>
            </w:r>
            <w:r w:rsidR="00C4163C" w:rsidRPr="00AD26AB">
              <w:rPr>
                <w:rFonts w:eastAsia="Calibri" w:cs="Times New Roman"/>
                <w:szCs w:val="24"/>
                <w:lang w:val="lt-LT" w:eastAsia="en-US"/>
              </w:rPr>
              <w:t>prisim</w:t>
            </w:r>
            <w:r w:rsidRPr="00AD26AB">
              <w:rPr>
                <w:rFonts w:eastAsia="Calibri" w:cs="Times New Roman"/>
                <w:szCs w:val="24"/>
                <w:lang w:val="lt-LT" w:eastAsia="en-US"/>
              </w:rPr>
              <w:t xml:space="preserve">enamos </w:t>
            </w:r>
            <w:r w:rsidR="00C4163C" w:rsidRPr="00AD26AB">
              <w:rPr>
                <w:rFonts w:eastAsia="Calibri" w:cs="Times New Roman"/>
                <w:szCs w:val="24"/>
                <w:lang w:val="lt-LT" w:eastAsia="en-US"/>
              </w:rPr>
              <w:t>Galilėjaus transformacijas ir jų taikymo rib</w:t>
            </w:r>
            <w:r w:rsidRPr="00AD26AB">
              <w:rPr>
                <w:rFonts w:eastAsia="Calibri" w:cs="Times New Roman"/>
                <w:szCs w:val="24"/>
                <w:lang w:val="lt-LT" w:eastAsia="en-US"/>
              </w:rPr>
              <w:t>o</w:t>
            </w:r>
            <w:r w:rsidR="00C4163C" w:rsidRPr="00AD26AB">
              <w:rPr>
                <w:rFonts w:eastAsia="Calibri" w:cs="Times New Roman"/>
                <w:szCs w:val="24"/>
                <w:lang w:val="lt-LT" w:eastAsia="en-US"/>
              </w:rPr>
              <w:t>s ir apibrėž</w:t>
            </w:r>
            <w:r w:rsidRPr="00AD26AB">
              <w:rPr>
                <w:rFonts w:eastAsia="Calibri" w:cs="Times New Roman"/>
                <w:szCs w:val="24"/>
                <w:lang w:val="lt-LT" w:eastAsia="en-US"/>
              </w:rPr>
              <w:t>iama</w:t>
            </w:r>
            <w:r w:rsidR="00C4163C" w:rsidRPr="00AD26AB">
              <w:rPr>
                <w:rFonts w:eastAsia="Calibri" w:cs="Times New Roman"/>
                <w:szCs w:val="24"/>
                <w:lang w:val="lt-LT" w:eastAsia="en-US"/>
              </w:rPr>
              <w:t xml:space="preserve"> kokios sistemos vadinamos</w:t>
            </w:r>
            <w:r w:rsidRPr="00AD26AB">
              <w:rPr>
                <w:rFonts w:eastAsia="Calibri" w:cs="Times New Roman"/>
                <w:szCs w:val="24"/>
                <w:lang w:val="lt-LT" w:eastAsia="en-US"/>
              </w:rPr>
              <w:t xml:space="preserve"> </w:t>
            </w:r>
            <w:r w:rsidR="00C4163C" w:rsidRPr="00AD26AB">
              <w:rPr>
                <w:rFonts w:eastAsia="Calibri" w:cs="Times New Roman"/>
                <w:szCs w:val="24"/>
                <w:lang w:val="lt-LT" w:eastAsia="en-US"/>
              </w:rPr>
              <w:t>inercinėmis</w:t>
            </w:r>
          </w:p>
          <w:p w:rsidR="00C4163C" w:rsidRPr="00AD26AB" w:rsidRDefault="00C043A1" w:rsidP="00C043A1">
            <w:pPr>
              <w:jc w:val="left"/>
              <w:rPr>
                <w:rFonts w:eastAsia="Calibri" w:cs="Times New Roman"/>
                <w:szCs w:val="24"/>
                <w:lang w:val="lt-LT" w:eastAsia="en-US"/>
              </w:rPr>
            </w:pPr>
            <w:r w:rsidRPr="00AD26AB">
              <w:rPr>
                <w:rFonts w:eastAsia="Calibri" w:cs="Times New Roman"/>
                <w:szCs w:val="24"/>
                <w:lang w:val="lt-LT" w:eastAsia="en-US"/>
              </w:rPr>
              <w:t>A</w:t>
            </w:r>
            <w:r w:rsidR="00C4163C" w:rsidRPr="00AD26AB">
              <w:rPr>
                <w:rFonts w:eastAsia="Calibri" w:cs="Times New Roman"/>
                <w:szCs w:val="24"/>
                <w:lang w:val="lt-LT" w:eastAsia="en-US"/>
              </w:rPr>
              <w:t>ptar</w:t>
            </w:r>
            <w:r w:rsidRPr="00AD26AB">
              <w:rPr>
                <w:rFonts w:eastAsia="Calibri" w:cs="Times New Roman"/>
                <w:szCs w:val="24"/>
                <w:lang w:val="lt-LT" w:eastAsia="en-US"/>
              </w:rPr>
              <w:t xml:space="preserve">iamas </w:t>
            </w:r>
            <w:r w:rsidR="00C4163C" w:rsidRPr="00AD26AB">
              <w:rPr>
                <w:rFonts w:eastAsia="Calibri" w:cs="Times New Roman"/>
                <w:szCs w:val="24"/>
                <w:lang w:val="lt-LT" w:eastAsia="en-US"/>
              </w:rPr>
              <w:t>reliatyvumo teorijos sukūrimas, A. Einšteino priel</w:t>
            </w:r>
            <w:r w:rsidRPr="00AD26AB">
              <w:rPr>
                <w:rFonts w:eastAsia="Calibri" w:cs="Times New Roman"/>
                <w:szCs w:val="24"/>
                <w:lang w:val="lt-LT" w:eastAsia="en-US"/>
              </w:rPr>
              <w:t>aidos (hipotezės) ir postulatai.</w:t>
            </w:r>
          </w:p>
          <w:p w:rsidR="0009198E" w:rsidRPr="0009198E" w:rsidRDefault="00C4163C" w:rsidP="00C043A1">
            <w:pPr>
              <w:jc w:val="left"/>
              <w:rPr>
                <w:rFonts w:eastAsia="Calibri" w:cs="Times New Roman"/>
                <w:b/>
                <w:szCs w:val="24"/>
                <w:lang w:val="lt-LT" w:eastAsia="en-US"/>
              </w:rPr>
            </w:pPr>
            <w:r w:rsidRPr="00AD26AB">
              <w:rPr>
                <w:rFonts w:eastAsia="Calibri" w:cs="Times New Roman"/>
                <w:szCs w:val="24"/>
                <w:lang w:val="lt-LT" w:eastAsia="en-US"/>
              </w:rPr>
              <w:t xml:space="preserve">Analizuodami </w:t>
            </w:r>
            <w:r w:rsidR="00C043A1" w:rsidRPr="00AD26AB">
              <w:rPr>
                <w:rFonts w:eastAsia="Calibri" w:cs="Times New Roman"/>
                <w:szCs w:val="24"/>
                <w:lang w:val="lt-LT" w:eastAsia="en-US"/>
              </w:rPr>
              <w:t>vaizdinę</w:t>
            </w:r>
            <w:r w:rsidRPr="00AD26AB">
              <w:rPr>
                <w:rFonts w:eastAsia="Calibri" w:cs="Times New Roman"/>
                <w:szCs w:val="24"/>
                <w:lang w:val="lt-LT" w:eastAsia="en-US"/>
              </w:rPr>
              <w:t xml:space="preserve"> medžiagą</w:t>
            </w:r>
            <w:r w:rsidR="00C043A1" w:rsidRPr="00AD26AB">
              <w:rPr>
                <w:rFonts w:eastAsia="Calibri" w:cs="Times New Roman"/>
                <w:szCs w:val="24"/>
                <w:lang w:val="lt-LT" w:eastAsia="en-US"/>
              </w:rPr>
              <w:t xml:space="preserve">, </w:t>
            </w:r>
            <w:r w:rsidRPr="00AD26AB">
              <w:rPr>
                <w:rFonts w:eastAsia="Calibri" w:cs="Times New Roman"/>
                <w:szCs w:val="24"/>
                <w:lang w:val="lt-LT" w:eastAsia="en-US"/>
              </w:rPr>
              <w:t>išsiaiškin</w:t>
            </w:r>
            <w:r w:rsidR="00C043A1" w:rsidRPr="00AD26AB">
              <w:rPr>
                <w:rFonts w:eastAsia="Calibri" w:cs="Times New Roman"/>
                <w:szCs w:val="24"/>
                <w:lang w:val="lt-LT" w:eastAsia="en-US"/>
              </w:rPr>
              <w:t>ama</w:t>
            </w:r>
            <w:r w:rsidRPr="00AD26AB">
              <w:rPr>
                <w:rFonts w:eastAsia="Calibri" w:cs="Times New Roman"/>
                <w:szCs w:val="24"/>
                <w:lang w:val="lt-LT" w:eastAsia="en-US"/>
              </w:rPr>
              <w:t>, kad įvykiai, kurie vienoje inercinėje atskaitos sistemoje vyksta tuo pačiu metu,</w:t>
            </w:r>
            <w:r w:rsidR="00C043A1" w:rsidRPr="00AD26AB">
              <w:rPr>
                <w:rFonts w:eastAsia="Calibri" w:cs="Times New Roman"/>
                <w:szCs w:val="24"/>
                <w:lang w:val="lt-LT" w:eastAsia="en-US"/>
              </w:rPr>
              <w:t xml:space="preserve"> </w:t>
            </w:r>
            <w:r w:rsidRPr="00AD26AB">
              <w:rPr>
                <w:rFonts w:eastAsia="Calibri" w:cs="Times New Roman"/>
                <w:szCs w:val="24"/>
                <w:lang w:val="lt-LT" w:eastAsia="en-US"/>
              </w:rPr>
              <w:t xml:space="preserve">nevyksta tuo pačiu metu kitose sistemose, judančiose viena kitos atžvilgiu. </w:t>
            </w:r>
            <w:r w:rsidR="00C043A1" w:rsidRPr="00AD26AB">
              <w:rPr>
                <w:rFonts w:eastAsia="Calibri" w:cs="Times New Roman"/>
                <w:szCs w:val="24"/>
                <w:lang w:val="lt-LT" w:eastAsia="en-US"/>
              </w:rPr>
              <w:t>M</w:t>
            </w:r>
            <w:r w:rsidRPr="00AD26AB">
              <w:rPr>
                <w:rFonts w:eastAsia="Calibri" w:cs="Times New Roman"/>
                <w:szCs w:val="24"/>
                <w:lang w:val="lt-LT" w:eastAsia="en-US"/>
              </w:rPr>
              <w:t>okiniai gali</w:t>
            </w:r>
            <w:r w:rsidR="00C043A1" w:rsidRPr="00AD26AB">
              <w:rPr>
                <w:rFonts w:eastAsia="Calibri" w:cs="Times New Roman"/>
                <w:szCs w:val="24"/>
                <w:lang w:val="lt-LT" w:eastAsia="en-US"/>
              </w:rPr>
              <w:t xml:space="preserve"> </w:t>
            </w:r>
            <w:r w:rsidRPr="00AD26AB">
              <w:rPr>
                <w:rFonts w:eastAsia="Calibri" w:cs="Times New Roman"/>
                <w:szCs w:val="24"/>
                <w:lang w:val="lt-LT" w:eastAsia="en-US"/>
              </w:rPr>
              <w:t>padaryti minčių žemėlapius parodančius reliatyvistinės, specialiosios reliatyvistinės ir klasikinės teorijų</w:t>
            </w:r>
            <w:r w:rsidR="00C043A1" w:rsidRPr="00AD26AB">
              <w:rPr>
                <w:rFonts w:eastAsia="Calibri" w:cs="Times New Roman"/>
                <w:szCs w:val="24"/>
                <w:lang w:val="lt-LT" w:eastAsia="en-US"/>
              </w:rPr>
              <w:t xml:space="preserve"> </w:t>
            </w:r>
            <w:r w:rsidRPr="00AD26AB">
              <w:rPr>
                <w:rFonts w:eastAsia="Calibri" w:cs="Times New Roman"/>
                <w:szCs w:val="24"/>
                <w:lang w:val="lt-LT" w:eastAsia="en-US"/>
              </w:rPr>
              <w:t>skirtumus.</w:t>
            </w:r>
          </w:p>
        </w:tc>
        <w:tc>
          <w:tcPr>
            <w:tcW w:w="850" w:type="dxa"/>
          </w:tcPr>
          <w:p w:rsidR="0009198E" w:rsidRPr="0009198E" w:rsidRDefault="0009198E" w:rsidP="0009198E">
            <w:pPr>
              <w:jc w:val="left"/>
              <w:rPr>
                <w:rFonts w:eastAsia="Calibri" w:cs="Times New Roman"/>
                <w:b/>
                <w:szCs w:val="24"/>
                <w:lang w:val="lt-LT" w:eastAsia="en-US"/>
              </w:rPr>
            </w:pPr>
          </w:p>
        </w:tc>
      </w:tr>
      <w:tr w:rsidR="0009198E" w:rsidRPr="0009198E" w:rsidTr="00CB3F0A">
        <w:tc>
          <w:tcPr>
            <w:tcW w:w="1838" w:type="dxa"/>
          </w:tcPr>
          <w:p w:rsidR="0009198E" w:rsidRPr="0009198E" w:rsidRDefault="0009198E" w:rsidP="0009198E">
            <w:pPr>
              <w:jc w:val="left"/>
              <w:rPr>
                <w:rFonts w:eastAsia="Calibri" w:cs="Times New Roman"/>
                <w:szCs w:val="24"/>
                <w:lang w:val="lt-LT" w:eastAsia="en-US"/>
              </w:rPr>
            </w:pPr>
            <w:r w:rsidRPr="0009198E">
              <w:rPr>
                <w:rFonts w:eastAsia="Calibri" w:cs="Times New Roman"/>
                <w:szCs w:val="24"/>
                <w:lang w:val="lt-LT" w:eastAsia="en-US"/>
              </w:rPr>
              <w:t>Mokymosi turinio įtvirtinimui būtinos veiklos ir užduotys</w:t>
            </w:r>
          </w:p>
        </w:tc>
        <w:tc>
          <w:tcPr>
            <w:tcW w:w="7201" w:type="dxa"/>
          </w:tcPr>
          <w:p w:rsidR="0009198E" w:rsidRPr="00AD26AB" w:rsidRDefault="00C043A1" w:rsidP="00293F45">
            <w:pPr>
              <w:shd w:val="clear" w:color="auto" w:fill="FFFFFF"/>
              <w:jc w:val="left"/>
              <w:textAlignment w:val="baseline"/>
              <w:outlineLvl w:val="0"/>
              <w:rPr>
                <w:rFonts w:eastAsia="Calibri" w:cs="Times New Roman"/>
                <w:szCs w:val="24"/>
                <w:lang w:val="lt-LT" w:eastAsia="en-US"/>
              </w:rPr>
            </w:pPr>
            <w:r w:rsidRPr="00AD26AB">
              <w:rPr>
                <w:rFonts w:eastAsia="Calibri" w:cs="Times New Roman"/>
                <w:szCs w:val="24"/>
                <w:lang w:val="lt-LT" w:eastAsia="en-US"/>
              </w:rPr>
              <w:t>Pokalbis, diskusijos.</w:t>
            </w:r>
          </w:p>
          <w:p w:rsidR="00C043A1" w:rsidRPr="0009198E" w:rsidRDefault="00C043A1" w:rsidP="00293F45">
            <w:pPr>
              <w:shd w:val="clear" w:color="auto" w:fill="FFFFFF"/>
              <w:jc w:val="left"/>
              <w:textAlignment w:val="baseline"/>
              <w:outlineLvl w:val="0"/>
              <w:rPr>
                <w:rFonts w:eastAsia="Calibri" w:cs="Times New Roman"/>
                <w:szCs w:val="24"/>
                <w:lang w:val="lt-LT" w:eastAsia="en-US"/>
              </w:rPr>
            </w:pPr>
            <w:r w:rsidRPr="00AD26AB">
              <w:rPr>
                <w:rFonts w:eastAsia="Calibri" w:cs="Times New Roman"/>
                <w:szCs w:val="24"/>
                <w:lang w:val="lt-LT" w:eastAsia="en-US"/>
              </w:rPr>
              <w:t>Užduotys (pridedamos)</w:t>
            </w:r>
          </w:p>
        </w:tc>
        <w:tc>
          <w:tcPr>
            <w:tcW w:w="850" w:type="dxa"/>
          </w:tcPr>
          <w:p w:rsidR="0009198E" w:rsidRPr="0009198E" w:rsidRDefault="0009198E" w:rsidP="0009198E">
            <w:pPr>
              <w:jc w:val="left"/>
              <w:rPr>
                <w:rFonts w:eastAsia="Calibri" w:cs="Times New Roman"/>
                <w:szCs w:val="24"/>
                <w:lang w:val="lt-LT" w:eastAsia="en-US"/>
              </w:rPr>
            </w:pPr>
          </w:p>
        </w:tc>
      </w:tr>
      <w:tr w:rsidR="0009198E" w:rsidRPr="0009198E" w:rsidTr="00CB3F0A">
        <w:tc>
          <w:tcPr>
            <w:tcW w:w="1838" w:type="dxa"/>
          </w:tcPr>
          <w:p w:rsidR="0009198E" w:rsidRPr="0009198E" w:rsidRDefault="0009198E" w:rsidP="0009198E">
            <w:pPr>
              <w:jc w:val="left"/>
              <w:rPr>
                <w:rFonts w:eastAsia="Calibri" w:cs="Times New Roman"/>
                <w:szCs w:val="24"/>
                <w:lang w:val="lt-LT" w:eastAsia="en-US"/>
              </w:rPr>
            </w:pPr>
            <w:r w:rsidRPr="0009198E">
              <w:rPr>
                <w:rFonts w:eastAsia="Calibri" w:cs="Times New Roman"/>
                <w:szCs w:val="24"/>
                <w:lang w:val="lt-LT" w:eastAsia="en-US"/>
              </w:rPr>
              <w:t>Pasiekimo lygiai</w:t>
            </w:r>
          </w:p>
        </w:tc>
        <w:tc>
          <w:tcPr>
            <w:tcW w:w="7201" w:type="dxa"/>
          </w:tcPr>
          <w:p w:rsidR="0009198E" w:rsidRPr="0009198E" w:rsidRDefault="00A85AE0" w:rsidP="0009198E">
            <w:pPr>
              <w:jc w:val="left"/>
              <w:rPr>
                <w:rFonts w:eastAsia="Calibri" w:cs="Times New Roman"/>
                <w:szCs w:val="24"/>
                <w:lang w:val="lt-LT" w:eastAsia="en-US"/>
              </w:rPr>
            </w:pPr>
            <w:r w:rsidRPr="00AD26AB">
              <w:rPr>
                <w:rFonts w:eastAsia="Calibri" w:cs="Times New Roman"/>
                <w:szCs w:val="24"/>
                <w:lang w:val="lt-LT" w:eastAsia="en-US"/>
              </w:rPr>
              <w:t>Visi</w:t>
            </w:r>
          </w:p>
        </w:tc>
        <w:tc>
          <w:tcPr>
            <w:tcW w:w="850" w:type="dxa"/>
          </w:tcPr>
          <w:p w:rsidR="0009198E" w:rsidRPr="0009198E" w:rsidRDefault="0009198E" w:rsidP="0009198E">
            <w:pPr>
              <w:jc w:val="left"/>
              <w:rPr>
                <w:rFonts w:eastAsia="Calibri" w:cs="Times New Roman"/>
                <w:b/>
                <w:szCs w:val="24"/>
                <w:lang w:val="lt-LT" w:eastAsia="en-US"/>
              </w:rPr>
            </w:pPr>
          </w:p>
        </w:tc>
      </w:tr>
      <w:tr w:rsidR="0009198E" w:rsidRPr="0009198E" w:rsidTr="00CB3F0A">
        <w:tc>
          <w:tcPr>
            <w:tcW w:w="1838" w:type="dxa"/>
          </w:tcPr>
          <w:p w:rsidR="0009198E" w:rsidRPr="0009198E" w:rsidRDefault="0009198E" w:rsidP="0009198E">
            <w:pPr>
              <w:jc w:val="left"/>
              <w:rPr>
                <w:rFonts w:eastAsia="Calibri" w:cs="Times New Roman"/>
                <w:szCs w:val="24"/>
                <w:lang w:val="lt-LT" w:eastAsia="en-US"/>
              </w:rPr>
            </w:pPr>
            <w:r w:rsidRPr="0009198E">
              <w:rPr>
                <w:rFonts w:eastAsia="Calibri" w:cs="Times New Roman"/>
                <w:szCs w:val="24"/>
                <w:lang w:val="lt-LT" w:eastAsia="en-US"/>
              </w:rPr>
              <w:t xml:space="preserve">Kompetencijos </w:t>
            </w:r>
          </w:p>
        </w:tc>
        <w:tc>
          <w:tcPr>
            <w:tcW w:w="7201" w:type="dxa"/>
          </w:tcPr>
          <w:p w:rsidR="0009198E" w:rsidRPr="0009198E" w:rsidRDefault="0009198E" w:rsidP="00A85AE0">
            <w:pPr>
              <w:jc w:val="left"/>
              <w:rPr>
                <w:rFonts w:eastAsia="Calibri" w:cs="Times New Roman"/>
                <w:b/>
                <w:szCs w:val="24"/>
                <w:lang w:val="lt-LT" w:eastAsia="en-US"/>
              </w:rPr>
            </w:pPr>
            <w:r w:rsidRPr="0009198E">
              <w:rPr>
                <w:rFonts w:eastAsia="Calibri" w:cs="Times New Roman"/>
                <w:szCs w:val="24"/>
                <w:lang w:val="lt-LT" w:eastAsia="en-US"/>
              </w:rPr>
              <w:t>Pažinimo</w:t>
            </w:r>
            <w:r w:rsidR="00A85AE0" w:rsidRPr="00AD26AB">
              <w:rPr>
                <w:rFonts w:eastAsia="Calibri" w:cs="Times New Roman"/>
                <w:szCs w:val="24"/>
                <w:lang w:val="lt-LT" w:eastAsia="en-US"/>
              </w:rPr>
              <w:t>, skaitmeninė,</w:t>
            </w:r>
            <w:r w:rsidRPr="0009198E">
              <w:rPr>
                <w:rFonts w:eastAsia="Calibri" w:cs="Times New Roman"/>
                <w:szCs w:val="24"/>
                <w:lang w:val="lt-LT" w:eastAsia="en-US"/>
              </w:rPr>
              <w:t xml:space="preserve"> komunika</w:t>
            </w:r>
            <w:r w:rsidR="00A85AE0" w:rsidRPr="00AD26AB">
              <w:rPr>
                <w:rFonts w:eastAsia="Calibri" w:cs="Times New Roman"/>
                <w:szCs w:val="24"/>
                <w:lang w:val="lt-LT" w:eastAsia="en-US"/>
              </w:rPr>
              <w:t>vimo, kūrybiškumo</w:t>
            </w:r>
          </w:p>
        </w:tc>
        <w:tc>
          <w:tcPr>
            <w:tcW w:w="850" w:type="dxa"/>
          </w:tcPr>
          <w:p w:rsidR="0009198E" w:rsidRPr="0009198E" w:rsidRDefault="0009198E" w:rsidP="0009198E">
            <w:pPr>
              <w:jc w:val="left"/>
              <w:rPr>
                <w:rFonts w:eastAsia="Calibri" w:cs="Times New Roman"/>
                <w:b/>
                <w:szCs w:val="24"/>
                <w:lang w:val="lt-LT" w:eastAsia="en-US"/>
              </w:rPr>
            </w:pPr>
          </w:p>
        </w:tc>
      </w:tr>
    </w:tbl>
    <w:p w:rsidR="00AD26AB" w:rsidRPr="00AD26AB" w:rsidRDefault="00AD26AB">
      <w:pPr>
        <w:rPr>
          <w:rFonts w:cs="Times New Roman"/>
          <w:szCs w:val="24"/>
        </w:rPr>
      </w:pPr>
    </w:p>
    <w:p w:rsidR="00AD26AB" w:rsidRDefault="00AD26AB">
      <w:pPr>
        <w:rPr>
          <w:rFonts w:cs="Times New Roman"/>
          <w:b/>
          <w:szCs w:val="24"/>
        </w:rPr>
      </w:pPr>
      <w:r w:rsidRPr="00AD26AB">
        <w:rPr>
          <w:rFonts w:cs="Times New Roman"/>
          <w:b/>
          <w:szCs w:val="24"/>
        </w:rPr>
        <w:t>Užduočių atsakymai:</w:t>
      </w:r>
    </w:p>
    <w:p w:rsidR="00AD26AB" w:rsidRPr="00AD26AB" w:rsidRDefault="00AD26AB" w:rsidP="00AD26AB">
      <w:pPr>
        <w:pStyle w:val="ListParagraph"/>
        <w:numPr>
          <w:ilvl w:val="0"/>
          <w:numId w:val="2"/>
        </w:numPr>
        <w:rPr>
          <w:rFonts w:cs="Times New Roman"/>
          <w:szCs w:val="24"/>
        </w:rPr>
      </w:pPr>
      <w:r w:rsidRPr="00AD26AB">
        <w:rPr>
          <w:rFonts w:cs="Times New Roman"/>
          <w:szCs w:val="24"/>
        </w:rPr>
        <w:t>Kokie stebėjimų duomenys patvirtina bendrosios reliatyvumo teorijos teisingumą?</w:t>
      </w:r>
    </w:p>
    <w:p w:rsidR="00AD26AB" w:rsidRPr="00AD26AB" w:rsidRDefault="00AD26AB" w:rsidP="00AD26AB">
      <w:pPr>
        <w:rPr>
          <w:rFonts w:cs="Times New Roman"/>
          <w:color w:val="4F81BD" w:themeColor="accent1"/>
          <w:szCs w:val="24"/>
          <w:lang w:val="lt-LT"/>
        </w:rPr>
      </w:pPr>
      <w:r w:rsidRPr="00AD26AB">
        <w:rPr>
          <w:rFonts w:cs="Times New Roman"/>
          <w:color w:val="4F81BD" w:themeColor="accent1"/>
          <w:szCs w:val="24"/>
          <w:lang w:val="lt-LT"/>
        </w:rPr>
        <w:t>Anomalaus Merkurijaus orbitos perihelio slinkimo paaiškinimas;</w:t>
      </w:r>
    </w:p>
    <w:p w:rsidR="00AD26AB" w:rsidRPr="00AD26AB" w:rsidRDefault="00AD26AB" w:rsidP="00AD26AB">
      <w:pPr>
        <w:rPr>
          <w:rFonts w:cs="Times New Roman"/>
          <w:color w:val="4F81BD" w:themeColor="accent1"/>
          <w:szCs w:val="24"/>
          <w:lang w:val="lt-LT"/>
        </w:rPr>
      </w:pPr>
      <w:r w:rsidRPr="00AD26AB">
        <w:rPr>
          <w:rFonts w:cs="Times New Roman"/>
          <w:color w:val="4F81BD" w:themeColor="accent1"/>
          <w:szCs w:val="24"/>
          <w:lang w:val="lt-LT"/>
        </w:rPr>
        <w:t>Žvaigždės spindulio nuokrypimas jam sklindant pro Saulę (1919 patvirtinta stebėjimais);</w:t>
      </w:r>
    </w:p>
    <w:p w:rsidR="00AD26AB" w:rsidRPr="00AD26AB" w:rsidRDefault="00AD26AB" w:rsidP="00AD26AB">
      <w:pPr>
        <w:rPr>
          <w:rFonts w:cs="Times New Roman"/>
          <w:color w:val="4F81BD" w:themeColor="accent1"/>
          <w:szCs w:val="24"/>
          <w:lang w:val="lt-LT"/>
        </w:rPr>
      </w:pPr>
      <w:r w:rsidRPr="00AD26AB">
        <w:rPr>
          <w:rFonts w:cs="Times New Roman"/>
          <w:color w:val="4F81BD" w:themeColor="accent1"/>
          <w:szCs w:val="24"/>
          <w:lang w:val="lt-LT"/>
        </w:rPr>
        <w:t>Spinduliuojančio atomo dažnio raudonasis poslinkis Žemės gravitacijos lauke;</w:t>
      </w:r>
    </w:p>
    <w:p w:rsidR="00AD26AB" w:rsidRPr="00AD26AB" w:rsidRDefault="00AD26AB" w:rsidP="00AD26AB">
      <w:pPr>
        <w:rPr>
          <w:rFonts w:cs="Times New Roman"/>
          <w:color w:val="4F81BD" w:themeColor="accent1"/>
          <w:szCs w:val="24"/>
          <w:lang w:val="lt-LT"/>
        </w:rPr>
      </w:pPr>
      <w:r w:rsidRPr="00AD26AB">
        <w:rPr>
          <w:rFonts w:cs="Times New Roman"/>
          <w:color w:val="4F81BD" w:themeColor="accent1"/>
          <w:szCs w:val="24"/>
          <w:lang w:val="lt-LT"/>
        </w:rPr>
        <w:t xml:space="preserve">Radaro signalo, atsispindėjusio nuo Veneros paviršiaus, papildomas vėlinimas dėl to, kad Saulė iškreivina erdvėlaikį. </w:t>
      </w:r>
    </w:p>
    <w:p w:rsidR="00AD26AB" w:rsidRPr="00AD26AB" w:rsidRDefault="00AD26AB" w:rsidP="00AD26AB">
      <w:pPr>
        <w:pStyle w:val="ListParagraph"/>
        <w:rPr>
          <w:rFonts w:cs="Times New Roman"/>
          <w:szCs w:val="24"/>
        </w:rPr>
      </w:pPr>
    </w:p>
    <w:p w:rsidR="00AD26AB" w:rsidRPr="00AD26AB" w:rsidRDefault="00AD26AB" w:rsidP="00AD26AB">
      <w:pPr>
        <w:pStyle w:val="ListParagraph"/>
        <w:numPr>
          <w:ilvl w:val="0"/>
          <w:numId w:val="2"/>
        </w:numPr>
        <w:rPr>
          <w:rFonts w:cs="Times New Roman"/>
          <w:szCs w:val="24"/>
        </w:rPr>
      </w:pPr>
      <w:r w:rsidRPr="00AD26AB">
        <w:rPr>
          <w:rFonts w:cs="Times New Roman"/>
          <w:szCs w:val="24"/>
        </w:rPr>
        <w:t>Kodėl mokslininkai tiek laiko nepastebėjo, kad mus supanti erdvė yra kreiva?</w:t>
      </w:r>
    </w:p>
    <w:p w:rsidR="00AD26AB" w:rsidRPr="00AD26AB" w:rsidRDefault="00AD26AB" w:rsidP="00AD26AB">
      <w:pPr>
        <w:rPr>
          <w:rFonts w:cs="Times New Roman"/>
          <w:color w:val="4F81BD" w:themeColor="accent1"/>
          <w:szCs w:val="24"/>
        </w:rPr>
      </w:pPr>
      <w:r w:rsidRPr="00AD26AB">
        <w:rPr>
          <w:rFonts w:cs="Times New Roman"/>
          <w:color w:val="4F81BD" w:themeColor="accent1"/>
          <w:szCs w:val="24"/>
        </w:rPr>
        <w:t>Šviesos greitis yra labai didelis. Atliekant matavimus Saulės sistemos ribose, paklaidos buvo labai mažos. Skaičiuodami pagal Niutono dėsnį dangaus kūnų judėjimą, astronomai gaudavo labai gerą sutapimą su stebėjimų rezultatais.</w:t>
      </w:r>
    </w:p>
    <w:p w:rsidR="00AD26AB" w:rsidRPr="00AD26AB" w:rsidRDefault="00AD26AB" w:rsidP="00AD26AB">
      <w:pPr>
        <w:pStyle w:val="ListParagraph"/>
        <w:numPr>
          <w:ilvl w:val="0"/>
          <w:numId w:val="2"/>
        </w:numPr>
        <w:rPr>
          <w:rFonts w:cs="Times New Roman"/>
          <w:color w:val="000000" w:themeColor="text1"/>
          <w:szCs w:val="24"/>
        </w:rPr>
      </w:pPr>
      <w:bookmarkStart w:id="0" w:name="_GoBack"/>
      <w:bookmarkEnd w:id="0"/>
      <w:r w:rsidRPr="00AD26AB">
        <w:rPr>
          <w:rFonts w:cs="Times New Roman"/>
          <w:color w:val="000000" w:themeColor="text1"/>
          <w:szCs w:val="24"/>
        </w:rPr>
        <w:lastRenderedPageBreak/>
        <w:t>Tiek specialiojoje, tiek bendrojoje reliatyvumo teorijoje Einšteinas panaudojo erdvėlaikio sąvoką. Tarkime, egzistuoja dalelė X, kuri yra labai toli nuo bet kokios didelės masės kūno. Dalelė juda pastoviu greičiu x ašies kryptimi. Naudodamiesi šiuo konkrečiu atveju ir pavaizduotomis ašimis, apibūdinkite, kas yra erdvėlaikis.</w:t>
      </w:r>
    </w:p>
    <w:p w:rsidR="00AD26AB" w:rsidRPr="00AD26AB" w:rsidRDefault="00AD26AB" w:rsidP="00AD26AB">
      <w:pPr>
        <w:rPr>
          <w:rFonts w:cs="Times New Roman"/>
          <w:color w:val="4F81BD" w:themeColor="accent1"/>
          <w:szCs w:val="24"/>
        </w:rPr>
      </w:pPr>
      <w:r w:rsidRPr="00AD26AB">
        <w:rPr>
          <w:rFonts w:cs="Times New Roman"/>
          <w:noProof/>
          <w:szCs w:val="24"/>
          <w:lang w:val="lt-LT"/>
        </w:rPr>
        <w:drawing>
          <wp:inline distT="0" distB="0" distL="0" distR="0" wp14:anchorId="00557AFF" wp14:editId="6A5C3285">
            <wp:extent cx="2728056" cy="1829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28102" cy="1829509"/>
                    </a:xfrm>
                    <a:prstGeom prst="rect">
                      <a:avLst/>
                    </a:prstGeom>
                  </pic:spPr>
                </pic:pic>
              </a:graphicData>
            </a:graphic>
          </wp:inline>
        </w:drawing>
      </w:r>
    </w:p>
    <w:p w:rsidR="00AD26AB" w:rsidRPr="00AD26AB" w:rsidRDefault="00AD26AB" w:rsidP="00AD26AB">
      <w:pPr>
        <w:rPr>
          <w:rFonts w:cs="Times New Roman"/>
          <w:color w:val="4F81BD" w:themeColor="accent1"/>
          <w:szCs w:val="24"/>
        </w:rPr>
      </w:pPr>
      <w:r w:rsidRPr="00AD26AB">
        <w:rPr>
          <w:rFonts w:cs="Times New Roman"/>
          <w:color w:val="4F81BD" w:themeColor="accent1"/>
          <w:szCs w:val="24"/>
        </w:rPr>
        <w:t>Galimas atsakymas:</w:t>
      </w:r>
    </w:p>
    <w:p w:rsidR="00AD26AB" w:rsidRPr="00AD26AB" w:rsidRDefault="00AD26AB" w:rsidP="00AD26AB">
      <w:pPr>
        <w:rPr>
          <w:rFonts w:cs="Times New Roman"/>
          <w:color w:val="4F81BD" w:themeColor="accent1"/>
          <w:szCs w:val="24"/>
          <w:lang w:val="en-US"/>
        </w:rPr>
      </w:pPr>
      <w:r w:rsidRPr="00AD26AB">
        <w:rPr>
          <w:rFonts w:cs="Times New Roman"/>
          <w:color w:val="4F81BD" w:themeColor="accent1"/>
          <w:szCs w:val="24"/>
        </w:rPr>
        <w:t>dalelės juda tiek erdvėje, tiek laike, todėl dalelės judėjimą galima pavaizduoti kaip kelią erdvėlaikyje.</w:t>
      </w:r>
    </w:p>
    <w:p w:rsidR="00AD26AB" w:rsidRPr="00AD26AB" w:rsidRDefault="00AD26AB" w:rsidP="00AD26AB">
      <w:pPr>
        <w:rPr>
          <w:rFonts w:cs="Times New Roman"/>
          <w:color w:val="4F81BD" w:themeColor="accent1"/>
          <w:szCs w:val="24"/>
          <w:lang w:val="en-US"/>
        </w:rPr>
      </w:pPr>
      <w:r w:rsidRPr="00AD26AB">
        <w:rPr>
          <w:rFonts w:cs="Times New Roman"/>
          <w:noProof/>
          <w:szCs w:val="24"/>
          <w:lang w:val="lt-LT"/>
        </w:rPr>
        <w:drawing>
          <wp:inline distT="0" distB="0" distL="0" distR="0" wp14:anchorId="6E0B06C2" wp14:editId="380F4507">
            <wp:extent cx="1674056" cy="111051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74311" cy="1110681"/>
                    </a:xfrm>
                    <a:prstGeom prst="rect">
                      <a:avLst/>
                    </a:prstGeom>
                  </pic:spPr>
                </pic:pic>
              </a:graphicData>
            </a:graphic>
          </wp:inline>
        </w:drawing>
      </w:r>
    </w:p>
    <w:p w:rsidR="00AD26AB" w:rsidRPr="00AD26AB" w:rsidRDefault="00AD26AB" w:rsidP="00AD26AB">
      <w:pPr>
        <w:rPr>
          <w:rFonts w:cs="Times New Roman"/>
          <w:color w:val="4F81BD" w:themeColor="accent1"/>
          <w:szCs w:val="24"/>
        </w:rPr>
      </w:pPr>
    </w:p>
    <w:p w:rsidR="00AD26AB" w:rsidRPr="00AD26AB" w:rsidRDefault="00AD26AB" w:rsidP="00AD26AB">
      <w:pPr>
        <w:pStyle w:val="ListParagraph"/>
        <w:numPr>
          <w:ilvl w:val="0"/>
          <w:numId w:val="2"/>
        </w:numPr>
        <w:rPr>
          <w:rFonts w:cs="Times New Roman"/>
          <w:color w:val="000000" w:themeColor="text1"/>
          <w:szCs w:val="24"/>
        </w:rPr>
      </w:pPr>
      <w:r w:rsidRPr="00AD26AB">
        <w:rPr>
          <w:rFonts w:cs="Times New Roman"/>
          <w:color w:val="000000" w:themeColor="text1"/>
          <w:szCs w:val="24"/>
        </w:rPr>
        <w:t>Bendroji reliatyvumo teorija teigia, kad dideliais atstumais nuo didelių masių erdvėlaikis yra lygus. Didelių masių k</w:t>
      </w:r>
      <w:r w:rsidRPr="00AD26AB">
        <w:rPr>
          <w:rFonts w:cs="Times New Roman"/>
          <w:color w:val="000000" w:themeColor="text1"/>
          <w:szCs w:val="24"/>
          <w:lang w:val="lt-LT"/>
        </w:rPr>
        <w:t>ūnai</w:t>
      </w:r>
      <w:r w:rsidRPr="00AD26AB">
        <w:rPr>
          <w:rFonts w:cs="Times New Roman"/>
          <w:color w:val="000000" w:themeColor="text1"/>
          <w:szCs w:val="24"/>
        </w:rPr>
        <w:t xml:space="preserve"> iškreipia erdvėlaikį. Pasinaudodami šia idėja, aprašykite gravitacinę trauką tarp Žemės ir orbituojančio palydovo.</w:t>
      </w:r>
    </w:p>
    <w:p w:rsidR="00AD26AB" w:rsidRPr="00AD26AB" w:rsidRDefault="00AD26AB" w:rsidP="00AD26AB">
      <w:pPr>
        <w:rPr>
          <w:rFonts w:cs="Times New Roman"/>
          <w:color w:val="4F81BD" w:themeColor="accent1"/>
          <w:szCs w:val="24"/>
        </w:rPr>
      </w:pPr>
      <w:r w:rsidRPr="00AD26AB">
        <w:rPr>
          <w:rFonts w:cs="Times New Roman"/>
          <w:color w:val="4F81BD" w:themeColor="accent1"/>
          <w:szCs w:val="24"/>
        </w:rPr>
        <w:t>Jei Žemė neegzistuotų, palydovas judėtų tiesia linija;</w:t>
      </w:r>
    </w:p>
    <w:p w:rsidR="00AD26AB" w:rsidRPr="00AD26AB" w:rsidRDefault="00AD26AB" w:rsidP="00AD26AB">
      <w:pPr>
        <w:rPr>
          <w:rFonts w:cs="Times New Roman"/>
          <w:color w:val="4F81BD" w:themeColor="accent1"/>
          <w:szCs w:val="24"/>
        </w:rPr>
      </w:pPr>
      <w:r w:rsidRPr="00AD26AB">
        <w:rPr>
          <w:rFonts w:cs="Times New Roman"/>
          <w:color w:val="4F81BD" w:themeColor="accent1"/>
          <w:szCs w:val="24"/>
        </w:rPr>
        <w:t>Erdvėlaikio iškraipymas verčia palydovą judėti orbita.</w:t>
      </w:r>
    </w:p>
    <w:p w:rsidR="00AD26AB" w:rsidRPr="00AD26AB" w:rsidRDefault="00AD26AB" w:rsidP="00AD26AB">
      <w:pPr>
        <w:pStyle w:val="ListParagraph"/>
        <w:numPr>
          <w:ilvl w:val="0"/>
          <w:numId w:val="2"/>
        </w:numPr>
        <w:rPr>
          <w:rFonts w:cs="Times New Roman"/>
          <w:color w:val="000000" w:themeColor="text1"/>
          <w:szCs w:val="24"/>
        </w:rPr>
      </w:pPr>
      <w:r w:rsidRPr="00AD26AB">
        <w:rPr>
          <w:rFonts w:cs="Times New Roman"/>
          <w:color w:val="000000" w:themeColor="text1"/>
          <w:szCs w:val="24"/>
        </w:rPr>
        <w:t>1919 m. kovo 29 d. Eddingtonas atliko eksperimentą, siekdamas pateikti įrodymų, palaikančių Einšteino bendrąją reliatyvumo teoriją. Paveiksle parodytas dangaus k</w:t>
      </w:r>
      <w:r w:rsidRPr="00AD26AB">
        <w:rPr>
          <w:rFonts w:cs="Times New Roman"/>
          <w:color w:val="000000" w:themeColor="text1"/>
          <w:szCs w:val="24"/>
          <w:lang w:val="lt-LT"/>
        </w:rPr>
        <w:t xml:space="preserve">ūnų tarpusavio išsidėstymas tą dieną (mastelio nesilaikoma). </w:t>
      </w:r>
      <w:r w:rsidRPr="00AD26AB">
        <w:rPr>
          <w:rFonts w:cs="Times New Roman"/>
          <w:color w:val="000000" w:themeColor="text1"/>
          <w:szCs w:val="24"/>
        </w:rPr>
        <w:t>Ši konkreti data buvo pasirinkta, nes toje vietoje, kur buvo atliktas eksperimentas, įvyko visiškas Saulės užtemimas. Eddingtonas išmatavo tariamą žvaigždės padėtį, o po šešių mėnesių vėl išmatavo žvaigždės padėtį iš tos pačios vietos.</w:t>
      </w:r>
    </w:p>
    <w:p w:rsidR="00AD26AB" w:rsidRPr="00AD26AB" w:rsidRDefault="00AD26AB" w:rsidP="00AD26AB">
      <w:pPr>
        <w:rPr>
          <w:rFonts w:cs="Times New Roman"/>
          <w:color w:val="000000" w:themeColor="text1"/>
          <w:szCs w:val="24"/>
          <w:lang w:val="lt-LT"/>
        </w:rPr>
      </w:pPr>
      <w:r w:rsidRPr="00AD26AB">
        <w:rPr>
          <w:rFonts w:cs="Times New Roman"/>
          <w:noProof/>
          <w:color w:val="000000" w:themeColor="text1"/>
          <w:szCs w:val="24"/>
          <w:lang w:val="lt-LT"/>
        </w:rPr>
        <w:drawing>
          <wp:inline distT="0" distB="0" distL="0" distR="0" wp14:anchorId="3CD7DD75" wp14:editId="4057A905">
            <wp:extent cx="1886070" cy="1322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183" cy="1323049"/>
                    </a:xfrm>
                    <a:prstGeom prst="rect">
                      <a:avLst/>
                    </a:prstGeom>
                    <a:noFill/>
                    <a:ln>
                      <a:noFill/>
                    </a:ln>
                  </pic:spPr>
                </pic:pic>
              </a:graphicData>
            </a:graphic>
          </wp:inline>
        </w:drawing>
      </w:r>
    </w:p>
    <w:p w:rsidR="00AD26AB" w:rsidRPr="00AD26AB" w:rsidRDefault="00AD26AB" w:rsidP="00AD26AB">
      <w:pPr>
        <w:pStyle w:val="ListParagraph"/>
        <w:numPr>
          <w:ilvl w:val="1"/>
          <w:numId w:val="3"/>
        </w:numPr>
        <w:rPr>
          <w:rFonts w:cs="Times New Roman"/>
          <w:color w:val="000000" w:themeColor="text1"/>
          <w:szCs w:val="24"/>
        </w:rPr>
      </w:pPr>
      <w:r w:rsidRPr="00AD26AB">
        <w:rPr>
          <w:rFonts w:cs="Times New Roman"/>
          <w:color w:val="000000" w:themeColor="text1"/>
          <w:szCs w:val="24"/>
        </w:rPr>
        <w:t>Kodėl buvo būtina, kad eksperimentas būtų atliktas visiško Saulės užtemimo metu?</w:t>
      </w:r>
    </w:p>
    <w:p w:rsidR="00AD26AB" w:rsidRPr="00AD26AB" w:rsidRDefault="00AD26AB" w:rsidP="00AD26AB">
      <w:pPr>
        <w:rPr>
          <w:rFonts w:cs="Times New Roman"/>
          <w:color w:val="244061" w:themeColor="accent1" w:themeShade="80"/>
          <w:szCs w:val="24"/>
        </w:rPr>
      </w:pPr>
      <w:r w:rsidRPr="00AD26AB">
        <w:rPr>
          <w:rFonts w:cs="Times New Roman"/>
          <w:color w:val="244061" w:themeColor="accent1" w:themeShade="80"/>
          <w:szCs w:val="24"/>
        </w:rPr>
        <w:t xml:space="preserve">Visiškas Saulės užtemimas buvo būtinas, kad būtų galima stebėti žvaigždę, esančią netoli Saulės disko. Įprastomis sąlygomis Saulės šviesa būtų per stipri, kad žvaigždė būtų matoma dienos metu, </w:t>
      </w:r>
      <w:r w:rsidRPr="00AD26AB">
        <w:rPr>
          <w:rFonts w:cs="Times New Roman"/>
          <w:color w:val="244061" w:themeColor="accent1" w:themeShade="80"/>
          <w:szCs w:val="24"/>
        </w:rPr>
        <w:lastRenderedPageBreak/>
        <w:t>tačiau užtemimo metu Saulės šviesa yra užblokuota, todėl galima matyti žvaigždes, esančias šalia Saulės.</w:t>
      </w:r>
    </w:p>
    <w:p w:rsidR="00AD26AB" w:rsidRPr="00AD26AB" w:rsidRDefault="00AD26AB" w:rsidP="00AD26AB">
      <w:pPr>
        <w:rPr>
          <w:rFonts w:cs="Times New Roman"/>
          <w:color w:val="000000" w:themeColor="text1"/>
          <w:szCs w:val="24"/>
        </w:rPr>
      </w:pPr>
    </w:p>
    <w:p w:rsidR="00AD26AB" w:rsidRPr="00AD26AB" w:rsidRDefault="00AD26AB" w:rsidP="00AD26AB">
      <w:pPr>
        <w:rPr>
          <w:rFonts w:cs="Times New Roman"/>
          <w:color w:val="000000" w:themeColor="text1"/>
          <w:szCs w:val="24"/>
        </w:rPr>
      </w:pPr>
      <w:r w:rsidRPr="00AD26AB">
        <w:rPr>
          <w:rFonts w:cs="Times New Roman"/>
          <w:color w:val="000000" w:themeColor="text1"/>
          <w:szCs w:val="24"/>
        </w:rPr>
        <w:t>5.2 Kodėl buvo būtina išmatuoti žvaigždės padėtį po šešių mėnesių?</w:t>
      </w:r>
    </w:p>
    <w:p w:rsidR="00AD26AB" w:rsidRPr="00AD26AB" w:rsidRDefault="00AD26AB" w:rsidP="00AD26AB">
      <w:pPr>
        <w:rPr>
          <w:rFonts w:cs="Times New Roman"/>
          <w:color w:val="244061" w:themeColor="accent1" w:themeShade="80"/>
          <w:szCs w:val="24"/>
        </w:rPr>
      </w:pPr>
      <w:r w:rsidRPr="00AD26AB">
        <w:rPr>
          <w:rFonts w:cs="Times New Roman"/>
          <w:color w:val="244061" w:themeColor="accent1" w:themeShade="80"/>
          <w:szCs w:val="24"/>
        </w:rPr>
        <w:t>Žvaigždės padėtį reikėjo išmatuoti po šešių mėnesių, kad būtų galima palyginti jos poziciją, kai Saulė yra kitoje dangaus pusėje. Tai leido nustatyti, ar Saulės gravitacija išlenkė šviesos spindulius, kaip numato Einšteino bendroji reliatyvumo teorija. Šis palyginimas suteikė įrodymų apie erdvėlaikio iškreipimą Saulės gravitacinio lauko įtakoje.</w:t>
      </w:r>
    </w:p>
    <w:p w:rsidR="00AD26AB" w:rsidRPr="00AD26AB" w:rsidRDefault="00AD26AB" w:rsidP="00AD26AB">
      <w:pPr>
        <w:rPr>
          <w:rFonts w:cs="Times New Roman"/>
          <w:color w:val="000000" w:themeColor="text1"/>
          <w:szCs w:val="24"/>
          <w:lang w:val="en-US"/>
        </w:rPr>
      </w:pPr>
    </w:p>
    <w:p w:rsidR="00AD26AB" w:rsidRPr="00AD26AB" w:rsidRDefault="00AD26AB" w:rsidP="00AD26AB">
      <w:pPr>
        <w:rPr>
          <w:rFonts w:cs="Times New Roman"/>
          <w:color w:val="000000" w:themeColor="text1"/>
          <w:szCs w:val="24"/>
        </w:rPr>
      </w:pPr>
      <w:r w:rsidRPr="00AD26AB">
        <w:rPr>
          <w:rFonts w:cs="Times New Roman"/>
          <w:color w:val="000000" w:themeColor="text1"/>
          <w:szCs w:val="24"/>
        </w:rPr>
        <w:t>5.3 Paveiksle nubrėžkite šviesos spindulio kelią nuo žvaigždės iki Žemės, kaip tai numato Einšteino teorija.</w:t>
      </w:r>
    </w:p>
    <w:p w:rsidR="00AD26AB" w:rsidRPr="00AD26AB" w:rsidRDefault="00AD26AB" w:rsidP="00AD26AB">
      <w:pPr>
        <w:rPr>
          <w:rFonts w:cs="Times New Roman"/>
          <w:color w:val="000000" w:themeColor="text1"/>
          <w:szCs w:val="24"/>
        </w:rPr>
      </w:pPr>
      <w:r w:rsidRPr="00AD26AB">
        <w:rPr>
          <w:rFonts w:cs="Times New Roman"/>
          <w:noProof/>
          <w:color w:val="000000" w:themeColor="text1"/>
          <w:szCs w:val="24"/>
          <w:lang w:val="lt-LT"/>
        </w:rPr>
        <w:drawing>
          <wp:inline distT="0" distB="0" distL="0" distR="0" wp14:anchorId="7DFC04A5" wp14:editId="484B3A5B">
            <wp:extent cx="1448973" cy="14724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033" cy="1472507"/>
                    </a:xfrm>
                    <a:prstGeom prst="rect">
                      <a:avLst/>
                    </a:prstGeom>
                    <a:noFill/>
                    <a:ln>
                      <a:noFill/>
                    </a:ln>
                  </pic:spPr>
                </pic:pic>
              </a:graphicData>
            </a:graphic>
          </wp:inline>
        </w:drawing>
      </w:r>
    </w:p>
    <w:p w:rsidR="00AD26AB" w:rsidRPr="00AD26AB" w:rsidRDefault="00AD26AB" w:rsidP="00AD26AB">
      <w:pPr>
        <w:rPr>
          <w:rFonts w:cs="Times New Roman"/>
          <w:color w:val="000000" w:themeColor="text1"/>
          <w:szCs w:val="24"/>
        </w:rPr>
      </w:pPr>
      <w:r w:rsidRPr="00AD26AB">
        <w:rPr>
          <w:rFonts w:cs="Times New Roman"/>
          <w:color w:val="000000" w:themeColor="text1"/>
          <w:szCs w:val="24"/>
        </w:rPr>
        <w:t>5.4 Kaip Einšteino teorija paaiškina jūsų nubrėžtą spindulio kelią?</w:t>
      </w:r>
    </w:p>
    <w:p w:rsidR="00AD26AB" w:rsidRPr="00AD26AB" w:rsidRDefault="00AD26AB" w:rsidP="00CB3F0A">
      <w:pPr>
        <w:pStyle w:val="NormalWeb"/>
        <w:spacing w:before="0" w:beforeAutospacing="0"/>
        <w:rPr>
          <w:color w:val="244061" w:themeColor="accent1" w:themeShade="80"/>
        </w:rPr>
      </w:pPr>
      <w:r w:rsidRPr="00AD26AB">
        <w:rPr>
          <w:color w:val="244061" w:themeColor="accent1" w:themeShade="80"/>
        </w:rPr>
        <w:t xml:space="preserve">Teorija numato, kad </w:t>
      </w:r>
      <w:r w:rsidRPr="00AD26AB">
        <w:rPr>
          <w:b/>
          <w:color w:val="244061" w:themeColor="accent1" w:themeShade="80"/>
        </w:rPr>
        <w:t>erdvėlaikis</w:t>
      </w:r>
      <w:r w:rsidRPr="00AD26AB">
        <w:rPr>
          <w:color w:val="244061" w:themeColor="accent1" w:themeShade="80"/>
        </w:rPr>
        <w:t xml:space="preserve"> (raktinis žodis) yra išlenktas Saulės;</w:t>
      </w:r>
    </w:p>
    <w:p w:rsidR="00AD26AB" w:rsidRDefault="00AD26AB">
      <w:pPr>
        <w:rPr>
          <w:rFonts w:cs="Times New Roman"/>
          <w:color w:val="000000" w:themeColor="text1"/>
          <w:szCs w:val="24"/>
        </w:rPr>
      </w:pPr>
      <w:r w:rsidRPr="00AD26AB">
        <w:rPr>
          <w:rFonts w:cs="Times New Roman"/>
          <w:color w:val="000000" w:themeColor="text1"/>
          <w:szCs w:val="24"/>
        </w:rPr>
        <w:t>5.5 Paveiksle pažymėkite raidę A, kuri žymi tariamą žvaigždės padėtį, matomą iš Žemės.</w:t>
      </w:r>
    </w:p>
    <w:p w:rsidR="00AD26AB" w:rsidRPr="00AD26AB" w:rsidRDefault="00AD26AB">
      <w:pPr>
        <w:rPr>
          <w:rFonts w:cs="Times New Roman"/>
          <w:color w:val="244061" w:themeColor="accent1" w:themeShade="80"/>
          <w:szCs w:val="24"/>
        </w:rPr>
      </w:pPr>
      <w:r w:rsidRPr="00AD26AB">
        <w:rPr>
          <w:rFonts w:cs="Times New Roman"/>
          <w:color w:val="244061" w:themeColor="accent1" w:themeShade="80"/>
          <w:szCs w:val="24"/>
        </w:rPr>
        <w:t>Atsakymas 5.4.</w:t>
      </w:r>
    </w:p>
    <w:sectPr w:rsidR="00AD26AB" w:rsidRPr="00AD26A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323"/>
    <w:multiLevelType w:val="hybridMultilevel"/>
    <w:tmpl w:val="13C0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440AD"/>
    <w:multiLevelType w:val="multilevel"/>
    <w:tmpl w:val="E78A5B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64D58CF"/>
    <w:multiLevelType w:val="hybridMultilevel"/>
    <w:tmpl w:val="1CF2DB46"/>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8E"/>
    <w:rsid w:val="0009198E"/>
    <w:rsid w:val="000C688D"/>
    <w:rsid w:val="0014077E"/>
    <w:rsid w:val="00293F45"/>
    <w:rsid w:val="00680D2C"/>
    <w:rsid w:val="007A40CC"/>
    <w:rsid w:val="00A85AE0"/>
    <w:rsid w:val="00AD26AB"/>
    <w:rsid w:val="00C043A1"/>
    <w:rsid w:val="00C4163C"/>
    <w:rsid w:val="00CB3F0A"/>
    <w:rsid w:val="00E068F5"/>
    <w:rsid w:val="00E86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7E"/>
    <w:pPr>
      <w:spacing w:after="0"/>
      <w:jc w:val="both"/>
    </w:pPr>
    <w:rPr>
      <w:rFonts w:ascii="Times New Roman" w:hAnsi="Times New Roman" w:cs="Arial"/>
      <w:sz w:val="24"/>
      <w:lang w:val="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9198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6AB"/>
    <w:pPr>
      <w:ind w:left="720"/>
      <w:contextualSpacing/>
    </w:pPr>
  </w:style>
  <w:style w:type="paragraph" w:styleId="NormalWeb">
    <w:name w:val="Normal (Web)"/>
    <w:basedOn w:val="Normal"/>
    <w:uiPriority w:val="99"/>
    <w:semiHidden/>
    <w:unhideWhenUsed/>
    <w:rsid w:val="00AD26AB"/>
    <w:pPr>
      <w:spacing w:before="100" w:beforeAutospacing="1" w:after="100" w:afterAutospacing="1" w:line="240" w:lineRule="auto"/>
      <w:jc w:val="left"/>
    </w:pPr>
    <w:rPr>
      <w:rFonts w:eastAsia="Times New Roman" w:cs="Times New Roman"/>
      <w:szCs w:val="24"/>
      <w:lang w:val="lt-LT"/>
    </w:rPr>
  </w:style>
  <w:style w:type="paragraph" w:styleId="BalloonText">
    <w:name w:val="Balloon Text"/>
    <w:basedOn w:val="Normal"/>
    <w:link w:val="BalloonTextChar"/>
    <w:uiPriority w:val="99"/>
    <w:semiHidden/>
    <w:unhideWhenUsed/>
    <w:rsid w:val="00AD2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AB"/>
    <w:rPr>
      <w:rFonts w:ascii="Tahoma" w:hAnsi="Tahoma" w:cs="Tahoma"/>
      <w:sz w:val="16"/>
      <w:szCs w:val="16"/>
      <w:lang w:val="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7E"/>
    <w:pPr>
      <w:spacing w:after="0"/>
      <w:jc w:val="both"/>
    </w:pPr>
    <w:rPr>
      <w:rFonts w:ascii="Times New Roman" w:hAnsi="Times New Roman" w:cs="Arial"/>
      <w:sz w:val="24"/>
      <w:lang w:val="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9198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6AB"/>
    <w:pPr>
      <w:ind w:left="720"/>
      <w:contextualSpacing/>
    </w:pPr>
  </w:style>
  <w:style w:type="paragraph" w:styleId="NormalWeb">
    <w:name w:val="Normal (Web)"/>
    <w:basedOn w:val="Normal"/>
    <w:uiPriority w:val="99"/>
    <w:semiHidden/>
    <w:unhideWhenUsed/>
    <w:rsid w:val="00AD26AB"/>
    <w:pPr>
      <w:spacing w:before="100" w:beforeAutospacing="1" w:after="100" w:afterAutospacing="1" w:line="240" w:lineRule="auto"/>
      <w:jc w:val="left"/>
    </w:pPr>
    <w:rPr>
      <w:rFonts w:eastAsia="Times New Roman" w:cs="Times New Roman"/>
      <w:szCs w:val="24"/>
      <w:lang w:val="lt-LT"/>
    </w:rPr>
  </w:style>
  <w:style w:type="paragraph" w:styleId="BalloonText">
    <w:name w:val="Balloon Text"/>
    <w:basedOn w:val="Normal"/>
    <w:link w:val="BalloonTextChar"/>
    <w:uiPriority w:val="99"/>
    <w:semiHidden/>
    <w:unhideWhenUsed/>
    <w:rsid w:val="00AD2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AB"/>
    <w:rPr>
      <w:rFonts w:ascii="Tahoma" w:hAnsi="Tahoma" w:cs="Tahoma"/>
      <w:sz w:val="16"/>
      <w:szCs w:val="16"/>
      <w:lang w:val="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5FC842EC-A396-42BF-B7A8-53D2C979B270}"/>
</file>

<file path=customXml/itemProps2.xml><?xml version="1.0" encoding="utf-8"?>
<ds:datastoreItem xmlns:ds="http://schemas.openxmlformats.org/officeDocument/2006/customXml" ds:itemID="{CDB8ABFF-C952-4053-9EF3-F470E121A934}"/>
</file>

<file path=customXml/itemProps3.xml><?xml version="1.0" encoding="utf-8"?>
<ds:datastoreItem xmlns:ds="http://schemas.openxmlformats.org/officeDocument/2006/customXml" ds:itemID="{12589953-E8FD-4767-9467-6FD7C2899BA8}"/>
</file>

<file path=docProps/app.xml><?xml version="1.0" encoding="utf-8"?>
<Properties xmlns="http://schemas.openxmlformats.org/officeDocument/2006/extended-properties" xmlns:vt="http://schemas.openxmlformats.org/officeDocument/2006/docPropsVTypes">
  <Template>Normal.dotm</Template>
  <TotalTime>823</TotalTime>
  <Pages>3</Pages>
  <Words>2853</Words>
  <Characters>1627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2024-09-01T17:28:00Z</dcterms:created>
  <dcterms:modified xsi:type="dcterms:W3CDTF">2024-09-02T07:12:00Z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