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50" w:rsidRDefault="00FC1ED1">
      <w:pPr>
        <w:spacing w:before="240"/>
        <w:rPr>
          <w:rFonts w:ascii="Arial" w:eastAsia="Arial" w:hAnsi="Arial" w:cs="Arial"/>
          <w:sz w:val="20"/>
          <w:szCs w:val="20"/>
        </w:rPr>
      </w:pPr>
      <w:r>
        <w:rPr>
          <w:rFonts w:ascii="Arial" w:eastAsia="Arial" w:hAnsi="Arial" w:cs="Arial"/>
          <w:sz w:val="20"/>
          <w:szCs w:val="20"/>
        </w:rPr>
        <w:t xml:space="preserve">Užduotis: </w:t>
      </w:r>
      <w:r>
        <w:rPr>
          <w:rFonts w:ascii="Arial" w:eastAsia="Arial" w:hAnsi="Arial" w:cs="Arial"/>
          <w:b/>
          <w:sz w:val="20"/>
          <w:szCs w:val="20"/>
        </w:rPr>
        <w:t xml:space="preserve">20. </w:t>
      </w:r>
      <w:bookmarkStart w:id="0" w:name="_GoBack"/>
      <w:r>
        <w:rPr>
          <w:rFonts w:ascii="Arial" w:eastAsia="Arial" w:hAnsi="Arial" w:cs="Arial"/>
          <w:b/>
          <w:sz w:val="20"/>
          <w:szCs w:val="20"/>
        </w:rPr>
        <w:t>Asmens duomenų teisėtas naudojimas, elektroninis parašas ir duomenų šifravimas</w:t>
      </w:r>
      <w:bookmarkEnd w:id="0"/>
    </w:p>
    <w:p w:rsidR="004F0C50" w:rsidRDefault="00FC1ED1" w:rsidP="00FC1ED1">
      <w:pPr>
        <w:spacing w:before="240"/>
        <w:rPr>
          <w:rFonts w:ascii="Arial" w:eastAsia="Arial" w:hAnsi="Arial" w:cs="Arial"/>
          <w:b/>
          <w:sz w:val="20"/>
          <w:szCs w:val="20"/>
        </w:rPr>
      </w:pPr>
      <w:r>
        <w:rPr>
          <w:rFonts w:ascii="Arial" w:eastAsia="Arial" w:hAnsi="Arial" w:cs="Arial"/>
          <w:sz w:val="20"/>
          <w:szCs w:val="20"/>
        </w:rPr>
        <w:t xml:space="preserve">Klasė: </w:t>
      </w:r>
      <w:r>
        <w:rPr>
          <w:rFonts w:ascii="Arial" w:eastAsia="Arial" w:hAnsi="Arial" w:cs="Arial"/>
          <w:b/>
          <w:sz w:val="20"/>
          <w:szCs w:val="20"/>
        </w:rPr>
        <w:t>IV</w:t>
      </w:r>
    </w:p>
    <w:p w:rsidR="004F0C50" w:rsidRDefault="00FC1ED1" w:rsidP="00FC1ED1">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Užduoties turinys </w:t>
      </w:r>
      <w:r>
        <w:rPr>
          <w:rFonts w:ascii="Arial" w:eastAsia="Arial" w:hAnsi="Arial" w:cs="Arial"/>
          <w:color w:val="000000"/>
          <w:sz w:val="20"/>
          <w:szCs w:val="20"/>
        </w:rPr>
        <w:t>(Informatikos bendroji programa:  31.6.1–31.6.2). </w:t>
      </w:r>
      <w:r>
        <w:rPr>
          <w:rFonts w:ascii="Arial" w:eastAsia="Arial" w:hAnsi="Arial" w:cs="Arial"/>
          <w:b/>
          <w:color w:val="000000"/>
          <w:sz w:val="20"/>
          <w:szCs w:val="20"/>
        </w:rPr>
        <w:t xml:space="preserve">Saugus elgesys: </w:t>
      </w:r>
    </w:p>
    <w:p w:rsidR="004F0C50" w:rsidRDefault="00FC1ED1" w:rsidP="00FC1ED1">
      <w:pPr>
        <w:pBdr>
          <w:top w:val="nil"/>
          <w:left w:val="nil"/>
          <w:bottom w:val="nil"/>
          <w:right w:val="nil"/>
          <w:between w:val="nil"/>
        </w:pBdr>
        <w:ind w:right="-53"/>
        <w:rPr>
          <w:rFonts w:ascii="Arial" w:eastAsia="Arial" w:hAnsi="Arial" w:cs="Arial"/>
          <w:color w:val="000000"/>
          <w:sz w:val="20"/>
          <w:szCs w:val="20"/>
        </w:rPr>
      </w:pPr>
      <w:r>
        <w:rPr>
          <w:rFonts w:ascii="Arial" w:eastAsia="Arial" w:hAnsi="Arial" w:cs="Arial"/>
          <w:b/>
          <w:color w:val="000000"/>
          <w:sz w:val="20"/>
          <w:szCs w:val="20"/>
        </w:rPr>
        <w:t xml:space="preserve">Asmens duomenų teisėtas naudojimas. </w:t>
      </w:r>
      <w:r>
        <w:rPr>
          <w:rFonts w:ascii="Arial" w:eastAsia="Arial" w:hAnsi="Arial" w:cs="Arial"/>
          <w:color w:val="000000"/>
          <w:sz w:val="20"/>
          <w:szCs w:val="20"/>
        </w:rPr>
        <w:t>31.6.1. Asmens duomenų teisėtas naudojimas. Prisimenama, kas yra asmens duomenys. Susipažįstama su pagrindiniais Europoje ir Lietuvoje galiojančiais teisės aktais, reglamentuojančiais asmens duomenų, kibernetinės saugos ir privatumo apsaugą: Bendruoju duom</w:t>
      </w:r>
      <w:r>
        <w:rPr>
          <w:rFonts w:ascii="Arial" w:eastAsia="Arial" w:hAnsi="Arial" w:cs="Arial"/>
          <w:color w:val="000000"/>
          <w:sz w:val="20"/>
          <w:szCs w:val="20"/>
        </w:rPr>
        <w:t>enų apsaugos reglamentu, Asmens duomenų teisinės apsaugos įstatymu, Kibernetinio saugumo įstatymu. Ypatingas dėmesys skiriamas Europos komisijos patvirtintam Bendrajam duomenų apsaugos reglamentui, sudarančiam Europos Sąjungos piliečiams galimybę geriau ko</w:t>
      </w:r>
      <w:r>
        <w:rPr>
          <w:rFonts w:ascii="Arial" w:eastAsia="Arial" w:hAnsi="Arial" w:cs="Arial"/>
          <w:color w:val="000000"/>
          <w:sz w:val="20"/>
          <w:szCs w:val="20"/>
        </w:rPr>
        <w:t>ntroliuoti savo asmens duomenis. Susipažįstama su duomenų subjekto teisėmis ir jų realizavimu (pavyzdžiui, gauti informaciją apie savo asmens duomenų tvarkymą; susipažinti su savo asmens duomenimis, kurie yra saugomi įstaigose; atšaukti savo sutikimą tvark</w:t>
      </w:r>
      <w:r>
        <w:rPr>
          <w:rFonts w:ascii="Arial" w:eastAsia="Arial" w:hAnsi="Arial" w:cs="Arial"/>
          <w:color w:val="000000"/>
          <w:sz w:val="20"/>
          <w:szCs w:val="20"/>
        </w:rPr>
        <w:t>yti asmens duomenis; prašyti ištaisyti netikslius, papildyti neišsamius asmens duomenis; prašyti ištrinti (teisė „būti pamirštam“) su duomenų subjektu susijusius asmens duomenis; prašyti apriboti savo asmens duomenų tvarkymą; pasinaudoti teise į duomenų pe</w:t>
      </w:r>
      <w:r>
        <w:rPr>
          <w:rFonts w:ascii="Arial" w:eastAsia="Arial" w:hAnsi="Arial" w:cs="Arial"/>
          <w:color w:val="000000"/>
          <w:sz w:val="20"/>
          <w:szCs w:val="20"/>
        </w:rPr>
        <w:t>rkeliamumą; nesutikti, kad su juo susiję asmens duomenys būtų tvarkomi; pateikti skundą priežiūros institucijai, pasinaudoti teise į žalos atlyginimą dėl netinkamo asmens duomenų tvarkymo. Aptariamos institucijos, kontroliuojančios, kaip laikomasi asmens d</w:t>
      </w:r>
      <w:r>
        <w:rPr>
          <w:rFonts w:ascii="Arial" w:eastAsia="Arial" w:hAnsi="Arial" w:cs="Arial"/>
          <w:color w:val="000000"/>
          <w:sz w:val="20"/>
          <w:szCs w:val="20"/>
        </w:rPr>
        <w:t>uomenų apsaugos įstatymų nuostatų. Susipažįstama su pagrindinėmis kibernetinio saugumo sąvokomis, apibrėžtomis Kibernetinio saugumo įstatyme (elektroninės informacijos prieglobos paslaugos, ypatingos svarbos informacinė infrastruktūra, kibernetinė erdvė, k</w:t>
      </w:r>
      <w:r>
        <w:rPr>
          <w:rFonts w:ascii="Arial" w:eastAsia="Arial" w:hAnsi="Arial" w:cs="Arial"/>
          <w:color w:val="000000"/>
          <w:sz w:val="20"/>
          <w:szCs w:val="20"/>
        </w:rPr>
        <w:t>ibernetinio saugumo krizė, kibernetinis incidentas, kibernetinis saugumas, kibernetinių incidentų valdymas, ryšių ir informacinė sistema, ryšių ir informacinės sistemos spraga, rizika, saugusis valstybinis duomenų perdavimo tinklas) bei kibernetinės saugos</w:t>
      </w:r>
      <w:r>
        <w:rPr>
          <w:rFonts w:ascii="Arial" w:eastAsia="Arial" w:hAnsi="Arial" w:cs="Arial"/>
          <w:color w:val="000000"/>
          <w:sz w:val="20"/>
          <w:szCs w:val="20"/>
        </w:rPr>
        <w:t xml:space="preserve"> principais.</w:t>
      </w:r>
      <w:r>
        <w:rPr>
          <w:rFonts w:ascii="Arial" w:eastAsia="Arial" w:hAnsi="Arial" w:cs="Arial"/>
          <w:b/>
          <w:color w:val="000000"/>
          <w:sz w:val="20"/>
          <w:szCs w:val="20"/>
        </w:rPr>
        <w:t xml:space="preserve"> </w:t>
      </w:r>
      <w:r>
        <w:rPr>
          <w:rFonts w:ascii="Arial" w:eastAsia="Arial" w:hAnsi="Arial" w:cs="Arial"/>
          <w:color w:val="000000"/>
          <w:sz w:val="20"/>
          <w:szCs w:val="20"/>
        </w:rPr>
        <w:t>Nagrinėjamas kibernetinės saugos ir duomenų saugos ryšys.</w:t>
      </w:r>
    </w:p>
    <w:p w:rsidR="004F0C50" w:rsidRDefault="00FC1ED1" w:rsidP="00FC1ED1">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Elektroninis parašas ir duomenų šifravimas</w:t>
      </w:r>
      <w:r>
        <w:rPr>
          <w:rFonts w:ascii="Arial" w:eastAsia="Arial" w:hAnsi="Arial" w:cs="Arial"/>
          <w:color w:val="000000"/>
          <w:sz w:val="20"/>
          <w:szCs w:val="20"/>
        </w:rPr>
        <w:t>. Išsiaiškinama elektroninio parašo sąvoka, susipažįstama su elektroninio spaudo, elektroninės laiko žymos sąvokomis. Aptariama, kuo skiriasi k</w:t>
      </w:r>
      <w:r>
        <w:rPr>
          <w:rFonts w:ascii="Arial" w:eastAsia="Arial" w:hAnsi="Arial" w:cs="Arial"/>
          <w:color w:val="000000"/>
          <w:sz w:val="20"/>
          <w:szCs w:val="20"/>
        </w:rPr>
        <w:t>valifikuotas ir nekvalifikuotas elektroninis parašas, nurodoma kvalifikuoto elektroninio parašo teisinė galia ir paskirtis: saugi, patogi ir juridinę galią turinti priemonė pasirašyti dokumentus ir patvirtinti savo tapatybę internetinėje erdvėje. Pateikiam</w:t>
      </w:r>
      <w:r>
        <w:rPr>
          <w:rFonts w:ascii="Arial" w:eastAsia="Arial" w:hAnsi="Arial" w:cs="Arial"/>
          <w:color w:val="000000"/>
          <w:sz w:val="20"/>
          <w:szCs w:val="20"/>
        </w:rPr>
        <w:t>i ir aptariami elektroninio parašo, elektroninio spaudo, elektroninės laiko žymos naudojimo pavyzdžiai. Susipažįstama su duomenų ir pranešimų šifravimu, aiškinamasi, kas yra privatieji ir viešieji šifravimo raktai. Praktiškai išbandomas duomenų ir pranešim</w:t>
      </w:r>
      <w:r>
        <w:rPr>
          <w:rFonts w:ascii="Arial" w:eastAsia="Arial" w:hAnsi="Arial" w:cs="Arial"/>
          <w:color w:val="000000"/>
          <w:sz w:val="20"/>
          <w:szCs w:val="20"/>
        </w:rPr>
        <w:t>ų šifravimas ir (ar) dešifravimas, naudojant, pavyzdžiui, „Kleopatros“ pranešimų šifravimo įrankį (jis yra „Gpg4win“ programų paketo dalis).</w:t>
      </w:r>
    </w:p>
    <w:p w:rsidR="004F0C50" w:rsidRDefault="00FC1ED1">
      <w:pPr>
        <w:keepNext/>
        <w:spacing w:before="240" w:after="240"/>
        <w:jc w:val="center"/>
        <w:rPr>
          <w:rFonts w:ascii="Arial" w:eastAsia="Arial" w:hAnsi="Arial" w:cs="Arial"/>
          <w:sz w:val="20"/>
          <w:szCs w:val="20"/>
        </w:rPr>
      </w:pPr>
      <w:r>
        <w:rPr>
          <w:rFonts w:ascii="Arial" w:eastAsia="Arial" w:hAnsi="Arial" w:cs="Arial"/>
          <w:sz w:val="20"/>
          <w:szCs w:val="20"/>
        </w:rPr>
        <w:t>Testo klausimai</w:t>
      </w:r>
    </w:p>
    <w:tbl>
      <w:tblPr>
        <w:tblStyle w:val="a"/>
        <w:tblW w:w="14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6825"/>
        <w:gridCol w:w="2835"/>
        <w:gridCol w:w="1275"/>
        <w:gridCol w:w="1110"/>
        <w:gridCol w:w="1575"/>
      </w:tblGrid>
      <w:tr w:rsidR="004F0C50">
        <w:trPr>
          <w:cantSplit/>
          <w:trHeight w:val="1345"/>
          <w:tblHeader/>
        </w:trPr>
        <w:tc>
          <w:tcPr>
            <w:tcW w:w="540" w:type="dxa"/>
            <w:shd w:val="clear" w:color="auto" w:fill="FAE2D6"/>
            <w:vAlign w:val="center"/>
          </w:tcPr>
          <w:p w:rsidR="004F0C50" w:rsidRDefault="00FC1ED1">
            <w:pPr>
              <w:jc w:val="center"/>
              <w:rPr>
                <w:rFonts w:ascii="Arial" w:eastAsia="Arial" w:hAnsi="Arial" w:cs="Arial"/>
                <w:sz w:val="20"/>
                <w:szCs w:val="20"/>
              </w:rPr>
            </w:pPr>
            <w:r>
              <w:rPr>
                <w:rFonts w:ascii="Arial" w:eastAsia="Arial" w:hAnsi="Arial" w:cs="Arial"/>
                <w:sz w:val="20"/>
                <w:szCs w:val="20"/>
              </w:rPr>
              <w:t>Nr.</w:t>
            </w:r>
          </w:p>
        </w:tc>
        <w:tc>
          <w:tcPr>
            <w:tcW w:w="6825" w:type="dxa"/>
            <w:shd w:val="clear" w:color="auto" w:fill="FAE2D6"/>
            <w:vAlign w:val="center"/>
          </w:tcPr>
          <w:p w:rsidR="004F0C50" w:rsidRDefault="00FC1ED1">
            <w:pPr>
              <w:jc w:val="center"/>
              <w:rPr>
                <w:rFonts w:ascii="Arial" w:eastAsia="Arial" w:hAnsi="Arial" w:cs="Arial"/>
                <w:sz w:val="20"/>
                <w:szCs w:val="20"/>
              </w:rPr>
            </w:pPr>
            <w:r>
              <w:rPr>
                <w:rFonts w:ascii="Arial" w:eastAsia="Arial" w:hAnsi="Arial" w:cs="Arial"/>
                <w:sz w:val="20"/>
                <w:szCs w:val="20"/>
              </w:rPr>
              <w:t>Testo klausimas</w:t>
            </w:r>
          </w:p>
        </w:tc>
        <w:tc>
          <w:tcPr>
            <w:tcW w:w="2835" w:type="dxa"/>
            <w:shd w:val="clear" w:color="auto" w:fill="FAE2D6"/>
            <w:vAlign w:val="center"/>
          </w:tcPr>
          <w:p w:rsidR="004F0C50" w:rsidRDefault="00FC1ED1">
            <w:pPr>
              <w:jc w:val="center"/>
              <w:rPr>
                <w:rFonts w:ascii="Arial" w:eastAsia="Arial" w:hAnsi="Arial" w:cs="Arial"/>
                <w:sz w:val="20"/>
                <w:szCs w:val="20"/>
              </w:rPr>
            </w:pPr>
            <w:r>
              <w:rPr>
                <w:rFonts w:ascii="Arial" w:eastAsia="Arial" w:hAnsi="Arial" w:cs="Arial"/>
                <w:sz w:val="20"/>
                <w:szCs w:val="20"/>
              </w:rPr>
              <w:t>Teisingas atsakymas</w:t>
            </w:r>
          </w:p>
        </w:tc>
        <w:tc>
          <w:tcPr>
            <w:tcW w:w="1275" w:type="dxa"/>
            <w:shd w:val="clear" w:color="auto" w:fill="FAE2D6"/>
            <w:vAlign w:val="center"/>
          </w:tcPr>
          <w:p w:rsidR="004F0C50" w:rsidRDefault="00FC1ED1">
            <w:pPr>
              <w:ind w:left="113" w:right="113"/>
              <w:jc w:val="center"/>
              <w:rPr>
                <w:rFonts w:ascii="Arial" w:eastAsia="Arial" w:hAnsi="Arial" w:cs="Arial"/>
                <w:sz w:val="20"/>
                <w:szCs w:val="20"/>
              </w:rPr>
            </w:pPr>
            <w:r>
              <w:rPr>
                <w:rFonts w:ascii="Arial" w:eastAsia="Arial" w:hAnsi="Arial" w:cs="Arial"/>
                <w:sz w:val="20"/>
                <w:szCs w:val="20"/>
              </w:rPr>
              <w:t>Taškų skaičius</w:t>
            </w:r>
          </w:p>
        </w:tc>
        <w:tc>
          <w:tcPr>
            <w:tcW w:w="1110" w:type="dxa"/>
            <w:shd w:val="clear" w:color="auto" w:fill="FAE2D6"/>
            <w:vAlign w:val="center"/>
          </w:tcPr>
          <w:p w:rsidR="004F0C50" w:rsidRDefault="00FC1ED1">
            <w:pPr>
              <w:ind w:left="113" w:right="113"/>
              <w:jc w:val="center"/>
              <w:rPr>
                <w:rFonts w:ascii="Arial" w:eastAsia="Arial" w:hAnsi="Arial" w:cs="Arial"/>
                <w:sz w:val="20"/>
                <w:szCs w:val="20"/>
              </w:rPr>
            </w:pPr>
            <w:r>
              <w:rPr>
                <w:rFonts w:ascii="Arial" w:eastAsia="Arial" w:hAnsi="Arial" w:cs="Arial"/>
                <w:sz w:val="20"/>
                <w:szCs w:val="20"/>
              </w:rPr>
              <w:t>Sudėtingumo lygis (1–4)</w:t>
            </w:r>
          </w:p>
        </w:tc>
        <w:tc>
          <w:tcPr>
            <w:tcW w:w="1575" w:type="dxa"/>
            <w:shd w:val="clear" w:color="auto" w:fill="FAE2D6"/>
            <w:vAlign w:val="center"/>
          </w:tcPr>
          <w:p w:rsidR="004F0C50" w:rsidRDefault="00FC1ED1">
            <w:pPr>
              <w:jc w:val="center"/>
              <w:rPr>
                <w:rFonts w:ascii="Arial" w:eastAsia="Arial" w:hAnsi="Arial" w:cs="Arial"/>
                <w:sz w:val="20"/>
                <w:szCs w:val="20"/>
              </w:rPr>
            </w:pPr>
            <w:r>
              <w:rPr>
                <w:rFonts w:ascii="Arial" w:eastAsia="Arial" w:hAnsi="Arial" w:cs="Arial"/>
                <w:sz w:val="20"/>
                <w:szCs w:val="20"/>
              </w:rPr>
              <w:t>Ugdomos kompetencijo</w:t>
            </w:r>
            <w:r>
              <w:rPr>
                <w:rFonts w:ascii="Arial" w:eastAsia="Arial" w:hAnsi="Arial" w:cs="Arial"/>
                <w:sz w:val="20"/>
                <w:szCs w:val="20"/>
              </w:rPr>
              <w:t>s</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t>1</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 xml:space="preserve">Kas laikoma asmens duomenimis pagal Europos Parlamento ir Tarybos Bendrąjį duomenų apsaugos reglamentą (BDAR)? Pažymėkite </w:t>
            </w:r>
            <w:r>
              <w:rPr>
                <w:rFonts w:ascii="Arial" w:eastAsia="Arial" w:hAnsi="Arial" w:cs="Arial"/>
                <w:b/>
                <w:sz w:val="20"/>
                <w:szCs w:val="20"/>
              </w:rPr>
              <w:t>visus</w:t>
            </w:r>
            <w:r>
              <w:rPr>
                <w:rFonts w:ascii="Arial" w:eastAsia="Arial" w:hAnsi="Arial" w:cs="Arial"/>
                <w:sz w:val="20"/>
                <w:szCs w:val="20"/>
              </w:rPr>
              <w:t xml:space="preserve"> teisingus atsakymus:</w:t>
            </w:r>
          </w:p>
          <w:p w:rsidR="004F0C50" w:rsidRDefault="00FC1ED1">
            <w:pPr>
              <w:numPr>
                <w:ilvl w:val="0"/>
                <w:numId w:val="2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Vardas ir pavardė</w:t>
            </w:r>
          </w:p>
          <w:p w:rsidR="004F0C50" w:rsidRDefault="00FC1ED1">
            <w:pPr>
              <w:numPr>
                <w:ilvl w:val="0"/>
                <w:numId w:val="2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Asmens kodas</w:t>
            </w:r>
          </w:p>
          <w:p w:rsidR="004F0C50" w:rsidRDefault="00FC1ED1">
            <w:pPr>
              <w:numPr>
                <w:ilvl w:val="0"/>
                <w:numId w:val="2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Namų adresas</w:t>
            </w:r>
          </w:p>
          <w:p w:rsidR="004F0C50" w:rsidRDefault="00FC1ED1">
            <w:pPr>
              <w:numPr>
                <w:ilvl w:val="0"/>
                <w:numId w:val="2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 pašto adresas</w:t>
            </w:r>
          </w:p>
          <w:p w:rsidR="004F0C50" w:rsidRDefault="00FC1ED1">
            <w:pPr>
              <w:numPr>
                <w:ilvl w:val="0"/>
                <w:numId w:val="2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Telefono numeris</w:t>
            </w:r>
          </w:p>
          <w:p w:rsidR="004F0C50" w:rsidRDefault="00FC1ED1">
            <w:pPr>
              <w:numPr>
                <w:ilvl w:val="0"/>
                <w:numId w:val="2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Interneto identifikatorius</w:t>
            </w:r>
          </w:p>
          <w:p w:rsidR="004F0C50" w:rsidRDefault="00FC1ED1">
            <w:pPr>
              <w:numPr>
                <w:ilvl w:val="0"/>
                <w:numId w:val="2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Atsitiktinės nuotraukos ar vaizdo įrašai, kuriuose matomas asmuo</w:t>
            </w:r>
          </w:p>
          <w:p w:rsidR="004F0C50" w:rsidRDefault="00FC1ED1">
            <w:pPr>
              <w:numPr>
                <w:ilvl w:val="0"/>
                <w:numId w:val="2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Visi pateikti atsakymai teisingi</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Visi pateikti variantai teisingi</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lastRenderedPageBreak/>
              <w:t>2</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 xml:space="preserve">Europos Parlamento ir Tarybos Bendrąjame duomenų apsaugos reglamente (BDAR) tarp asmens duomenų minimas </w:t>
            </w:r>
            <w:r>
              <w:rPr>
                <w:rFonts w:ascii="Arial" w:eastAsia="Arial" w:hAnsi="Arial" w:cs="Arial"/>
                <w:b/>
                <w:i/>
                <w:sz w:val="20"/>
                <w:szCs w:val="20"/>
              </w:rPr>
              <w:t>interneto identifikatorius</w:t>
            </w:r>
            <w:r>
              <w:rPr>
                <w:rFonts w:ascii="Arial" w:eastAsia="Arial" w:hAnsi="Arial" w:cs="Arial"/>
                <w:sz w:val="20"/>
                <w:szCs w:val="20"/>
              </w:rPr>
              <w:t xml:space="preserve"> (angl. „online identifier“). Kas yra interneto identifikatorius?</w:t>
            </w:r>
          </w:p>
          <w:p w:rsidR="004F0C50" w:rsidRDefault="00FC1ED1">
            <w:pPr>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Tai</w:t>
            </w:r>
            <w:r>
              <w:rPr>
                <w:rFonts w:ascii="Arial" w:eastAsia="Arial" w:hAnsi="Arial" w:cs="Arial"/>
                <w:sz w:val="20"/>
                <w:szCs w:val="20"/>
              </w:rPr>
              <w:t xml:space="preserve"> IP adresas, el.pašto adresas, socialinių tinklų vartotoj</w:t>
            </w:r>
            <w:r>
              <w:rPr>
                <w:rFonts w:ascii="Arial" w:eastAsia="Arial" w:hAnsi="Arial" w:cs="Arial"/>
                <w:sz w:val="20"/>
                <w:szCs w:val="20"/>
              </w:rPr>
              <w:t>o vardas, slapukai (angl. cookies) ir kt. Duomenys, kurie gali būti naudojami fizinio asmens nustatymui internete</w:t>
            </w:r>
          </w:p>
          <w:p w:rsidR="004F0C50" w:rsidRDefault="00FC1ED1">
            <w:pPr>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Interneto identifikatorius yra tik fizinio asmens vardas ir pavardė, nes tai yra pagrindiniai duomenys, reikalingi asmens identifikavimui</w:t>
            </w:r>
          </w:p>
          <w:p w:rsidR="004F0C50" w:rsidRDefault="00FC1ED1">
            <w:pPr>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Inte</w:t>
            </w:r>
            <w:r>
              <w:rPr>
                <w:rFonts w:ascii="Arial" w:eastAsia="Arial" w:hAnsi="Arial" w:cs="Arial"/>
                <w:sz w:val="20"/>
                <w:szCs w:val="20"/>
              </w:rPr>
              <w:t>rneto identifikatorius yra visų interneto svetainių, kurias aplankė vartotojas, sąrašas, tačiau tai nesusiję su interneto vartotojo identifikavimu</w:t>
            </w:r>
          </w:p>
          <w:p w:rsidR="004F0C50" w:rsidRDefault="00FC1ED1">
            <w:pPr>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Tai prieigos prie interneto svetainių, kuriose būtina registracija, vartotojo slaptažo</w:t>
            </w:r>
            <w:r>
              <w:rPr>
                <w:rFonts w:ascii="Arial" w:eastAsia="Arial" w:hAnsi="Arial" w:cs="Arial"/>
                <w:color w:val="000000"/>
                <w:sz w:val="20"/>
                <w:szCs w:val="20"/>
              </w:rPr>
              <w:t>dis, kurį jis naudoja p</w:t>
            </w:r>
            <w:r>
              <w:rPr>
                <w:rFonts w:ascii="Arial" w:eastAsia="Arial" w:hAnsi="Arial" w:cs="Arial"/>
                <w:color w:val="000000"/>
                <w:sz w:val="20"/>
                <w:szCs w:val="20"/>
              </w:rPr>
              <w:t>risijungimui prie interneto paslaugų.</w:t>
            </w:r>
          </w:p>
        </w:tc>
        <w:tc>
          <w:tcPr>
            <w:tcW w:w="2835" w:type="dxa"/>
            <w:vAlign w:val="center"/>
          </w:tcPr>
          <w:p w:rsidR="004F0C50" w:rsidRDefault="004F0C50">
            <w:pPr>
              <w:rPr>
                <w:rFonts w:ascii="Arial" w:eastAsia="Arial" w:hAnsi="Arial" w:cs="Arial"/>
                <w:sz w:val="20"/>
                <w:szCs w:val="20"/>
              </w:rPr>
            </w:pP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t>3</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Europos Parlamento ir Tarybos Bendrąjame duomenų apsaugos reglamente (BDAR) nurodyta, nepilnametis nuo 16 metų pats gali duoti sutikimą tvarkyti savo asmens duomenis. Lietuvos Respublikos Asmens duomenų teisinės apsaugos įstatyme (ADTA) sakoma, kad vaiko v</w:t>
            </w:r>
            <w:r>
              <w:rPr>
                <w:rFonts w:ascii="Arial" w:eastAsia="Arial" w:hAnsi="Arial" w:cs="Arial"/>
                <w:sz w:val="20"/>
                <w:szCs w:val="20"/>
              </w:rPr>
              <w:t xml:space="preserve">aiko asmens duomenų tvarkymas yra teisėtas, jei sutikimą davė ne jaunesnis negu 14 metų vaikas. </w:t>
            </w:r>
          </w:p>
          <w:p w:rsidR="004F0C50" w:rsidRDefault="00FC1ED1">
            <w:pPr>
              <w:rPr>
                <w:rFonts w:ascii="Arial" w:eastAsia="Arial" w:hAnsi="Arial" w:cs="Arial"/>
                <w:sz w:val="20"/>
                <w:szCs w:val="20"/>
              </w:rPr>
            </w:pPr>
            <w:r>
              <w:rPr>
                <w:rFonts w:ascii="Arial" w:eastAsia="Arial" w:hAnsi="Arial" w:cs="Arial"/>
                <w:sz w:val="20"/>
                <w:szCs w:val="20"/>
              </w:rPr>
              <w:t>Tad nuo kokio amžiaus asmuo Lietuvoje pats gali duoti sutikimą tvarkyti savo asmens duomenis?</w:t>
            </w:r>
          </w:p>
          <w:p w:rsidR="004F0C50" w:rsidRDefault="00FC1ED1">
            <w:pPr>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Nuo 18</w:t>
            </w:r>
            <w:r>
              <w:rPr>
                <w:rFonts w:ascii="Arial" w:eastAsia="Arial" w:hAnsi="Arial" w:cs="Arial"/>
                <w:sz w:val="20"/>
                <w:szCs w:val="20"/>
              </w:rPr>
              <w:t xml:space="preserve"> metų, t.y. tapęs pilnamečiu</w:t>
            </w:r>
          </w:p>
          <w:p w:rsidR="004F0C50" w:rsidRDefault="00FC1ED1">
            <w:pPr>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Nuo 16 metų, kaip nurodyta BDA</w:t>
            </w:r>
            <w:r>
              <w:rPr>
                <w:rFonts w:ascii="Arial" w:eastAsia="Arial" w:hAnsi="Arial" w:cs="Arial"/>
                <w:sz w:val="20"/>
                <w:szCs w:val="20"/>
              </w:rPr>
              <w:t>R</w:t>
            </w:r>
          </w:p>
          <w:p w:rsidR="004F0C50" w:rsidRDefault="00FC1ED1">
            <w:pPr>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Nuo 14 metų, kai</w:t>
            </w:r>
            <w:r>
              <w:rPr>
                <w:rFonts w:ascii="Arial" w:eastAsia="Arial" w:hAnsi="Arial" w:cs="Arial"/>
                <w:color w:val="000000"/>
                <w:sz w:val="20"/>
                <w:szCs w:val="20"/>
              </w:rPr>
              <w:t>p nurodyta Lietuvos ADTA įstatyme</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Nuo 14 metų</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t>4</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Kurie du iš paminėtų teiginių priskirtini kibernetinio saugumo principams:</w:t>
            </w:r>
          </w:p>
          <w:p w:rsidR="004F0C50" w:rsidRDefault="00FC1ED1">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Teisės aktų nuostatos yra taikomos, o teisės aktų saugomų gėrių apsauga yra užtikrinama vienodai tiek fizinėje, tiek kibernetinėje erdvėje</w:t>
            </w:r>
          </w:p>
          <w:p w:rsidR="004F0C50" w:rsidRDefault="00FC1ED1">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Taikomos kibernetinio saugumo rizikos valdymo</w:t>
            </w:r>
            <w:r>
              <w:rPr>
                <w:rFonts w:ascii="Arial" w:eastAsia="Arial" w:hAnsi="Arial" w:cs="Arial"/>
                <w:b/>
                <w:color w:val="000000"/>
                <w:sz w:val="20"/>
                <w:szCs w:val="20"/>
              </w:rPr>
              <w:t xml:space="preserve"> </w:t>
            </w:r>
            <w:r>
              <w:rPr>
                <w:rFonts w:ascii="Arial" w:eastAsia="Arial" w:hAnsi="Arial" w:cs="Arial"/>
                <w:color w:val="000000"/>
                <w:sz w:val="20"/>
                <w:szCs w:val="20"/>
              </w:rPr>
              <w:t>priemonės pirmiausia turi užtikrinti kiekvieno asmens interesų apsaugą,</w:t>
            </w:r>
            <w:r>
              <w:rPr>
                <w:rFonts w:ascii="Arial" w:eastAsia="Arial" w:hAnsi="Arial" w:cs="Arial"/>
                <w:color w:val="000000"/>
                <w:sz w:val="20"/>
                <w:szCs w:val="20"/>
              </w:rPr>
              <w:t xml:space="preserve"> ir niekada negali riboti asmens laisvės </w:t>
            </w:r>
          </w:p>
          <w:p w:rsidR="004F0C50" w:rsidRDefault="00FC1ED1">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Už tinklų ir informacinių sistemų ir jomis teikiamų paslaugų kibernetinį saugumą yra atsakingi Teisingumo ministerija ir Savivaldybės, kuriose veikia įmonės, kurioms priklauso tos informacinės sistemos</w:t>
            </w:r>
          </w:p>
          <w:p w:rsidR="004F0C50" w:rsidRDefault="00FC1ED1">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Taikomos kib</w:t>
            </w:r>
            <w:r>
              <w:rPr>
                <w:rFonts w:ascii="Arial" w:eastAsia="Arial" w:hAnsi="Arial" w:cs="Arial"/>
                <w:color w:val="000000"/>
                <w:sz w:val="20"/>
                <w:szCs w:val="20"/>
              </w:rPr>
              <w:t>ernetinio saugumo rizikos valdymo priemonės neturi apriboti kibernetinio saugumo subjektų veiklos labiau, negu tai būtina kibernetiniam saugumui užtikrinti</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lastRenderedPageBreak/>
              <w:t>Teisės aktų nuostatos yra taikomos, o teisės aktų saugomų gėrių apsauga yra užtikrinama vienodai tie</w:t>
            </w:r>
            <w:r>
              <w:rPr>
                <w:rFonts w:ascii="Arial" w:eastAsia="Arial" w:hAnsi="Arial" w:cs="Arial"/>
                <w:sz w:val="20"/>
                <w:szCs w:val="20"/>
              </w:rPr>
              <w:t>k fizinėje, tiek kibernetinėje erdvėje</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 xml:space="preserve">Taikomos kibernetinio saugumo rizikos valdymo priemonės neturi apriboti kibernetinio saugumo subjektų veiklos labiau, negu </w:t>
            </w:r>
            <w:r>
              <w:rPr>
                <w:rFonts w:ascii="Arial" w:eastAsia="Arial" w:hAnsi="Arial" w:cs="Arial"/>
                <w:sz w:val="20"/>
                <w:szCs w:val="20"/>
              </w:rPr>
              <w:lastRenderedPageBreak/>
              <w:t>tai būtina kibernetiniam saugumui užtikrinti</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lastRenderedPageBreak/>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lastRenderedPageBreak/>
              <w:t>5</w:t>
            </w:r>
          </w:p>
        </w:tc>
        <w:tc>
          <w:tcPr>
            <w:tcW w:w="6825" w:type="dxa"/>
          </w:tcPr>
          <w:p w:rsidR="004F0C50" w:rsidRDefault="00FC1ED1">
            <w:pPr>
              <w:spacing w:after="120"/>
              <w:rPr>
                <w:rFonts w:ascii="Arial" w:eastAsia="Arial" w:hAnsi="Arial" w:cs="Arial"/>
                <w:sz w:val="20"/>
                <w:szCs w:val="20"/>
              </w:rPr>
            </w:pPr>
            <w:r>
              <w:rPr>
                <w:rFonts w:ascii="Arial" w:eastAsia="Arial" w:hAnsi="Arial" w:cs="Arial"/>
                <w:sz w:val="20"/>
                <w:szCs w:val="20"/>
              </w:rPr>
              <w:t xml:space="preserve">Antrame stulpelyje prie kiekvieno teiginio įrašykite </w:t>
            </w:r>
            <w:r>
              <w:rPr>
                <w:rFonts w:ascii="Arial" w:eastAsia="Arial" w:hAnsi="Arial" w:cs="Arial"/>
                <w:b/>
                <w:sz w:val="20"/>
                <w:szCs w:val="20"/>
              </w:rPr>
              <w:t>K</w:t>
            </w:r>
            <w:r>
              <w:rPr>
                <w:rFonts w:ascii="Arial" w:eastAsia="Arial" w:hAnsi="Arial" w:cs="Arial"/>
                <w:sz w:val="20"/>
                <w:szCs w:val="20"/>
              </w:rPr>
              <w:t xml:space="preserve"> kaidę, jei atitinkamoje pirmo stulpelio eilutėje esantis teiginys taikytinas </w:t>
            </w:r>
            <w:r>
              <w:rPr>
                <w:rFonts w:ascii="Arial" w:eastAsia="Arial" w:hAnsi="Arial" w:cs="Arial"/>
                <w:i/>
                <w:sz w:val="20"/>
                <w:szCs w:val="20"/>
              </w:rPr>
              <w:t>kvalifikuotam elektroniniam parašui</w:t>
            </w:r>
            <w:r>
              <w:rPr>
                <w:rFonts w:ascii="Arial" w:eastAsia="Arial" w:hAnsi="Arial" w:cs="Arial"/>
                <w:sz w:val="20"/>
                <w:szCs w:val="20"/>
              </w:rPr>
              <w:t xml:space="preserve"> arba </w:t>
            </w:r>
            <w:r>
              <w:rPr>
                <w:rFonts w:ascii="Arial" w:eastAsia="Arial" w:hAnsi="Arial" w:cs="Arial"/>
                <w:b/>
                <w:sz w:val="20"/>
                <w:szCs w:val="20"/>
              </w:rPr>
              <w:t>N</w:t>
            </w:r>
            <w:r>
              <w:rPr>
                <w:rFonts w:ascii="Arial" w:eastAsia="Arial" w:hAnsi="Arial" w:cs="Arial"/>
                <w:sz w:val="20"/>
                <w:szCs w:val="20"/>
              </w:rPr>
              <w:t xml:space="preserve"> raidę, jei tas teiginys priskirtinas </w:t>
            </w:r>
            <w:r>
              <w:rPr>
                <w:rFonts w:ascii="Arial" w:eastAsia="Arial" w:hAnsi="Arial" w:cs="Arial"/>
                <w:i/>
                <w:sz w:val="20"/>
                <w:szCs w:val="20"/>
              </w:rPr>
              <w:t>nekvalifikuotam elektroniniam parašui</w:t>
            </w:r>
            <w:r>
              <w:rPr>
                <w:rFonts w:ascii="Arial" w:eastAsia="Arial" w:hAnsi="Arial" w:cs="Arial"/>
                <w:sz w:val="20"/>
                <w:szCs w:val="20"/>
              </w:rPr>
              <w:t>:</w:t>
            </w:r>
          </w:p>
          <w:tbl>
            <w:tblPr>
              <w:tblStyle w:val="a0"/>
              <w:tblW w:w="5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2"/>
              <w:gridCol w:w="762"/>
            </w:tblGrid>
            <w:tr w:rsidR="004F0C50">
              <w:trPr>
                <w:cantSplit/>
                <w:jc w:val="center"/>
              </w:trPr>
              <w:tc>
                <w:tcPr>
                  <w:tcW w:w="4732" w:type="dxa"/>
                  <w:tcMar>
                    <w:top w:w="113" w:type="dxa"/>
                    <w:bottom w:w="113" w:type="dxa"/>
                  </w:tcMar>
                </w:tcPr>
                <w:p w:rsidR="004F0C50" w:rsidRDefault="00FC1ED1">
                  <w:pPr>
                    <w:rPr>
                      <w:rFonts w:ascii="Arial" w:eastAsia="Arial" w:hAnsi="Arial" w:cs="Arial"/>
                      <w:sz w:val="20"/>
                      <w:szCs w:val="20"/>
                    </w:rPr>
                  </w:pPr>
                  <w:r>
                    <w:rPr>
                      <w:rFonts w:ascii="Arial" w:eastAsia="Arial" w:hAnsi="Arial" w:cs="Arial"/>
                      <w:sz w:val="20"/>
                      <w:szCs w:val="20"/>
                    </w:rPr>
                    <w:t>Teisi</w:t>
                  </w:r>
                  <w:r>
                    <w:rPr>
                      <w:rFonts w:ascii="Arial" w:eastAsia="Arial" w:hAnsi="Arial" w:cs="Arial"/>
                      <w:sz w:val="20"/>
                      <w:szCs w:val="20"/>
                    </w:rPr>
                    <w:t>škai prilyginamas ranka pasirašytam parašui</w:t>
                  </w:r>
                </w:p>
              </w:tc>
              <w:tc>
                <w:tcPr>
                  <w:tcW w:w="762" w:type="dxa"/>
                </w:tcPr>
                <w:p w:rsidR="004F0C50" w:rsidRDefault="004F0C50">
                  <w:pPr>
                    <w:jc w:val="center"/>
                    <w:rPr>
                      <w:rFonts w:ascii="Arial" w:eastAsia="Arial" w:hAnsi="Arial" w:cs="Arial"/>
                      <w:sz w:val="20"/>
                      <w:szCs w:val="20"/>
                    </w:rPr>
                  </w:pPr>
                </w:p>
              </w:tc>
            </w:tr>
            <w:tr w:rsidR="004F0C50">
              <w:trPr>
                <w:cantSplit/>
                <w:jc w:val="center"/>
              </w:trPr>
              <w:tc>
                <w:tcPr>
                  <w:tcW w:w="4732" w:type="dxa"/>
                  <w:tcMar>
                    <w:top w:w="113" w:type="dxa"/>
                    <w:bottom w:w="113" w:type="dxa"/>
                  </w:tcMar>
                </w:tcPr>
                <w:p w:rsidR="004F0C50" w:rsidRDefault="00FC1ED1">
                  <w:pPr>
                    <w:rPr>
                      <w:rFonts w:ascii="Arial" w:eastAsia="Arial" w:hAnsi="Arial" w:cs="Arial"/>
                      <w:sz w:val="20"/>
                      <w:szCs w:val="20"/>
                    </w:rPr>
                  </w:pPr>
                  <w:r>
                    <w:rPr>
                      <w:rFonts w:ascii="Arial" w:eastAsia="Arial" w:hAnsi="Arial" w:cs="Arial"/>
                      <w:sz w:val="20"/>
                      <w:szCs w:val="20"/>
                    </w:rPr>
                    <w:t>Nėra prilyginamas ranka pasirašytam parašui ir gali būti ginčijamas teisme</w:t>
                  </w:r>
                </w:p>
              </w:tc>
              <w:tc>
                <w:tcPr>
                  <w:tcW w:w="762" w:type="dxa"/>
                </w:tcPr>
                <w:p w:rsidR="004F0C50" w:rsidRDefault="004F0C50">
                  <w:pPr>
                    <w:jc w:val="center"/>
                    <w:rPr>
                      <w:rFonts w:ascii="Arial" w:eastAsia="Arial" w:hAnsi="Arial" w:cs="Arial"/>
                      <w:sz w:val="20"/>
                      <w:szCs w:val="20"/>
                    </w:rPr>
                  </w:pPr>
                </w:p>
              </w:tc>
            </w:tr>
            <w:tr w:rsidR="004F0C50">
              <w:trPr>
                <w:cantSplit/>
                <w:jc w:val="center"/>
              </w:trPr>
              <w:tc>
                <w:tcPr>
                  <w:tcW w:w="4732" w:type="dxa"/>
                  <w:tcMar>
                    <w:top w:w="113" w:type="dxa"/>
                    <w:bottom w:w="113" w:type="dxa"/>
                  </w:tcMar>
                </w:tcPr>
                <w:p w:rsidR="004F0C50" w:rsidRDefault="00FC1ED1">
                  <w:pPr>
                    <w:rPr>
                      <w:rFonts w:ascii="Arial" w:eastAsia="Arial" w:hAnsi="Arial" w:cs="Arial"/>
                      <w:sz w:val="20"/>
                      <w:szCs w:val="20"/>
                    </w:rPr>
                  </w:pPr>
                  <w:r>
                    <w:rPr>
                      <w:rFonts w:ascii="Arial" w:eastAsia="Arial" w:hAnsi="Arial" w:cs="Arial"/>
                      <w:sz w:val="20"/>
                      <w:szCs w:val="20"/>
                    </w:rPr>
                    <w:t>Priimamas visose ES valstybėse</w:t>
                  </w:r>
                </w:p>
              </w:tc>
              <w:tc>
                <w:tcPr>
                  <w:tcW w:w="762" w:type="dxa"/>
                </w:tcPr>
                <w:p w:rsidR="004F0C50" w:rsidRDefault="004F0C50">
                  <w:pPr>
                    <w:jc w:val="center"/>
                    <w:rPr>
                      <w:rFonts w:ascii="Arial" w:eastAsia="Arial" w:hAnsi="Arial" w:cs="Arial"/>
                      <w:sz w:val="20"/>
                      <w:szCs w:val="20"/>
                    </w:rPr>
                  </w:pPr>
                </w:p>
              </w:tc>
            </w:tr>
            <w:tr w:rsidR="004F0C50">
              <w:trPr>
                <w:cantSplit/>
                <w:jc w:val="center"/>
              </w:trPr>
              <w:tc>
                <w:tcPr>
                  <w:tcW w:w="4732" w:type="dxa"/>
                  <w:tcMar>
                    <w:top w:w="113" w:type="dxa"/>
                    <w:bottom w:w="113" w:type="dxa"/>
                  </w:tcMar>
                </w:tcPr>
                <w:p w:rsidR="004F0C50" w:rsidRDefault="00FC1ED1">
                  <w:pPr>
                    <w:rPr>
                      <w:rFonts w:ascii="Arial" w:eastAsia="Arial" w:hAnsi="Arial" w:cs="Arial"/>
                      <w:sz w:val="20"/>
                      <w:szCs w:val="20"/>
                    </w:rPr>
                  </w:pPr>
                  <w:r>
                    <w:rPr>
                      <w:rFonts w:ascii="Arial" w:eastAsia="Arial" w:hAnsi="Arial" w:cs="Arial"/>
                      <w:sz w:val="20"/>
                      <w:szCs w:val="20"/>
                    </w:rPr>
                    <w:t>Teisinis statusas priklauso nuo to, kaip jis buvo sukurtas ir naudojamas</w:t>
                  </w:r>
                </w:p>
              </w:tc>
              <w:tc>
                <w:tcPr>
                  <w:tcW w:w="762" w:type="dxa"/>
                </w:tcPr>
                <w:p w:rsidR="004F0C50" w:rsidRDefault="004F0C50">
                  <w:pPr>
                    <w:jc w:val="center"/>
                    <w:rPr>
                      <w:rFonts w:ascii="Arial" w:eastAsia="Arial" w:hAnsi="Arial" w:cs="Arial"/>
                      <w:sz w:val="20"/>
                      <w:szCs w:val="20"/>
                    </w:rPr>
                  </w:pPr>
                </w:p>
              </w:tc>
            </w:tr>
            <w:tr w:rsidR="004F0C50">
              <w:trPr>
                <w:cantSplit/>
                <w:jc w:val="center"/>
              </w:trPr>
              <w:tc>
                <w:tcPr>
                  <w:tcW w:w="4732" w:type="dxa"/>
                  <w:tcMar>
                    <w:top w:w="113" w:type="dxa"/>
                    <w:bottom w:w="113" w:type="dxa"/>
                  </w:tcMar>
                </w:tcPr>
                <w:p w:rsidR="004F0C50" w:rsidRDefault="00FC1ED1">
                  <w:pPr>
                    <w:rPr>
                      <w:rFonts w:ascii="Arial" w:eastAsia="Arial" w:hAnsi="Arial" w:cs="Arial"/>
                      <w:sz w:val="20"/>
                      <w:szCs w:val="20"/>
                    </w:rPr>
                  </w:pPr>
                  <w:r>
                    <w:rPr>
                      <w:rFonts w:ascii="Arial" w:eastAsia="Arial" w:hAnsi="Arial" w:cs="Arial"/>
                      <w:sz w:val="20"/>
                      <w:szCs w:val="20"/>
                    </w:rPr>
                    <w:t>Sukuriamas naudojant kvalifikuotą elektroninio parašo sukūrimo priemonę</w:t>
                  </w:r>
                </w:p>
              </w:tc>
              <w:tc>
                <w:tcPr>
                  <w:tcW w:w="762" w:type="dxa"/>
                </w:tcPr>
                <w:p w:rsidR="004F0C50" w:rsidRDefault="004F0C50">
                  <w:pPr>
                    <w:jc w:val="center"/>
                    <w:rPr>
                      <w:rFonts w:ascii="Arial" w:eastAsia="Arial" w:hAnsi="Arial" w:cs="Arial"/>
                      <w:sz w:val="20"/>
                      <w:szCs w:val="20"/>
                    </w:rPr>
                  </w:pPr>
                </w:p>
              </w:tc>
            </w:tr>
            <w:tr w:rsidR="004F0C50">
              <w:trPr>
                <w:cantSplit/>
                <w:jc w:val="center"/>
              </w:trPr>
              <w:tc>
                <w:tcPr>
                  <w:tcW w:w="4732" w:type="dxa"/>
                  <w:tcMar>
                    <w:top w:w="113" w:type="dxa"/>
                    <w:bottom w:w="113" w:type="dxa"/>
                  </w:tcMar>
                </w:tcPr>
                <w:p w:rsidR="004F0C50" w:rsidRDefault="00FC1ED1">
                  <w:pPr>
                    <w:rPr>
                      <w:rFonts w:ascii="Arial" w:eastAsia="Arial" w:hAnsi="Arial" w:cs="Arial"/>
                      <w:sz w:val="20"/>
                      <w:szCs w:val="20"/>
                    </w:rPr>
                  </w:pPr>
                  <w:r>
                    <w:rPr>
                      <w:rFonts w:ascii="Arial" w:eastAsia="Arial" w:hAnsi="Arial" w:cs="Arial"/>
                      <w:sz w:val="20"/>
                      <w:szCs w:val="20"/>
                    </w:rPr>
                    <w:t>Dažnai remiasi viešųjų raktų infrastruktūra (VRI) ir išduodamas sertifikuotų paslaugų teikėjų</w:t>
                  </w:r>
                </w:p>
              </w:tc>
              <w:tc>
                <w:tcPr>
                  <w:tcW w:w="762" w:type="dxa"/>
                </w:tcPr>
                <w:p w:rsidR="004F0C50" w:rsidRDefault="004F0C50">
                  <w:pPr>
                    <w:jc w:val="center"/>
                    <w:rPr>
                      <w:rFonts w:ascii="Arial" w:eastAsia="Arial" w:hAnsi="Arial" w:cs="Arial"/>
                      <w:sz w:val="20"/>
                      <w:szCs w:val="20"/>
                    </w:rPr>
                  </w:pPr>
                </w:p>
              </w:tc>
            </w:tr>
            <w:tr w:rsidR="004F0C50">
              <w:trPr>
                <w:cantSplit/>
                <w:jc w:val="center"/>
              </w:trPr>
              <w:tc>
                <w:tcPr>
                  <w:tcW w:w="4732" w:type="dxa"/>
                  <w:tcMar>
                    <w:top w:w="113" w:type="dxa"/>
                    <w:bottom w:w="113" w:type="dxa"/>
                  </w:tcMar>
                </w:tcPr>
                <w:p w:rsidR="004F0C50" w:rsidRDefault="00FC1ED1">
                  <w:pPr>
                    <w:rPr>
                      <w:rFonts w:ascii="Arial" w:eastAsia="Arial" w:hAnsi="Arial" w:cs="Arial"/>
                      <w:sz w:val="20"/>
                      <w:szCs w:val="20"/>
                    </w:rPr>
                  </w:pPr>
                  <w:r>
                    <w:rPr>
                      <w:rFonts w:ascii="Arial" w:eastAsia="Arial" w:hAnsi="Arial" w:cs="Arial"/>
                      <w:sz w:val="20"/>
                      <w:szCs w:val="20"/>
                    </w:rPr>
                    <w:t>Gali būti sukurtas naudojant paprastas programines priemones, pavyzdžiui, el. pašto pr</w:t>
                  </w:r>
                  <w:r>
                    <w:rPr>
                      <w:rFonts w:ascii="Arial" w:eastAsia="Arial" w:hAnsi="Arial" w:cs="Arial"/>
                      <w:sz w:val="20"/>
                      <w:szCs w:val="20"/>
                    </w:rPr>
                    <w:t>ogramas ar tekstų redaktorius ir pan.</w:t>
                  </w:r>
                </w:p>
              </w:tc>
              <w:tc>
                <w:tcPr>
                  <w:tcW w:w="762" w:type="dxa"/>
                </w:tcPr>
                <w:p w:rsidR="004F0C50" w:rsidRDefault="004F0C50">
                  <w:pPr>
                    <w:jc w:val="center"/>
                    <w:rPr>
                      <w:rFonts w:ascii="Arial" w:eastAsia="Arial" w:hAnsi="Arial" w:cs="Arial"/>
                      <w:sz w:val="20"/>
                      <w:szCs w:val="20"/>
                    </w:rPr>
                  </w:pPr>
                </w:p>
              </w:tc>
            </w:tr>
            <w:tr w:rsidR="004F0C50">
              <w:trPr>
                <w:cantSplit/>
                <w:jc w:val="center"/>
              </w:trPr>
              <w:tc>
                <w:tcPr>
                  <w:tcW w:w="4732" w:type="dxa"/>
                  <w:tcMar>
                    <w:top w:w="113" w:type="dxa"/>
                    <w:bottom w:w="113" w:type="dxa"/>
                  </w:tcMar>
                </w:tcPr>
                <w:p w:rsidR="004F0C50" w:rsidRDefault="00FC1ED1">
                  <w:pPr>
                    <w:rPr>
                      <w:rFonts w:ascii="Arial" w:eastAsia="Arial" w:hAnsi="Arial" w:cs="Arial"/>
                      <w:sz w:val="20"/>
                      <w:szCs w:val="20"/>
                    </w:rPr>
                  </w:pPr>
                  <w:r>
                    <w:rPr>
                      <w:rFonts w:ascii="Arial" w:eastAsia="Arial" w:hAnsi="Arial" w:cs="Arial"/>
                      <w:sz w:val="20"/>
                      <w:szCs w:val="20"/>
                    </w:rPr>
                    <w:t>Tinka įvairioms teisės aktų reikalaujamoms situacijoms, pavyzdžiui, sudarant sutartis, teikiant oficialius dokumentus, pasirašant elektroninius mokesčius ir pan.</w:t>
                  </w:r>
                </w:p>
              </w:tc>
              <w:tc>
                <w:tcPr>
                  <w:tcW w:w="762" w:type="dxa"/>
                </w:tcPr>
                <w:p w:rsidR="004F0C50" w:rsidRDefault="004F0C50">
                  <w:pPr>
                    <w:jc w:val="center"/>
                    <w:rPr>
                      <w:rFonts w:ascii="Arial" w:eastAsia="Arial" w:hAnsi="Arial" w:cs="Arial"/>
                      <w:sz w:val="20"/>
                      <w:szCs w:val="20"/>
                    </w:rPr>
                  </w:pPr>
                </w:p>
              </w:tc>
            </w:tr>
          </w:tbl>
          <w:p w:rsidR="004F0C50" w:rsidRDefault="004F0C50">
            <w:pPr>
              <w:tabs>
                <w:tab w:val="left" w:pos="4845"/>
              </w:tabs>
              <w:ind w:left="113"/>
              <w:rPr>
                <w:rFonts w:ascii="Arial" w:eastAsia="Arial" w:hAnsi="Arial" w:cs="Arial"/>
                <w:sz w:val="20"/>
                <w:szCs w:val="20"/>
              </w:rPr>
            </w:pPr>
          </w:p>
          <w:p w:rsidR="004F0C50" w:rsidRDefault="004F0C50">
            <w:pPr>
              <w:rPr>
                <w:rFonts w:ascii="Arial" w:eastAsia="Arial" w:hAnsi="Arial" w:cs="Arial"/>
                <w:sz w:val="20"/>
                <w:szCs w:val="20"/>
              </w:rPr>
            </w:pPr>
          </w:p>
        </w:tc>
        <w:tc>
          <w:tcPr>
            <w:tcW w:w="2835" w:type="dxa"/>
            <w:vAlign w:val="center"/>
          </w:tcPr>
          <w:p w:rsidR="004F0C50" w:rsidRDefault="004F0C50">
            <w:pPr>
              <w:widowControl w:val="0"/>
              <w:pBdr>
                <w:top w:val="nil"/>
                <w:left w:val="nil"/>
                <w:bottom w:val="nil"/>
                <w:right w:val="nil"/>
                <w:between w:val="nil"/>
              </w:pBdr>
              <w:spacing w:line="276" w:lineRule="auto"/>
              <w:rPr>
                <w:rFonts w:ascii="Arial" w:eastAsia="Arial" w:hAnsi="Arial" w:cs="Arial"/>
                <w:sz w:val="20"/>
                <w:szCs w:val="20"/>
              </w:rPr>
            </w:pPr>
          </w:p>
          <w:tbl>
            <w:tblPr>
              <w:tblStyle w:val="a1"/>
              <w:tblW w:w="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tblGrid>
            <w:tr w:rsidR="004F0C50">
              <w:trPr>
                <w:cantSplit/>
                <w:jc w:val="center"/>
              </w:trPr>
              <w:tc>
                <w:tcPr>
                  <w:tcW w:w="854" w:type="dxa"/>
                  <w:tcMar>
                    <w:top w:w="57" w:type="dxa"/>
                    <w:bottom w:w="57" w:type="dxa"/>
                  </w:tcMar>
                </w:tcPr>
                <w:p w:rsidR="004F0C50" w:rsidRDefault="00FC1ED1">
                  <w:pPr>
                    <w:jc w:val="center"/>
                    <w:rPr>
                      <w:rFonts w:ascii="Arial" w:eastAsia="Arial" w:hAnsi="Arial" w:cs="Arial"/>
                      <w:sz w:val="20"/>
                      <w:szCs w:val="20"/>
                    </w:rPr>
                  </w:pPr>
                  <w:r>
                    <w:rPr>
                      <w:rFonts w:ascii="Arial" w:eastAsia="Arial" w:hAnsi="Arial" w:cs="Arial"/>
                      <w:sz w:val="20"/>
                      <w:szCs w:val="20"/>
                    </w:rPr>
                    <w:t>K</w:t>
                  </w:r>
                </w:p>
              </w:tc>
            </w:tr>
            <w:tr w:rsidR="004F0C50">
              <w:trPr>
                <w:cantSplit/>
                <w:jc w:val="center"/>
              </w:trPr>
              <w:tc>
                <w:tcPr>
                  <w:tcW w:w="854" w:type="dxa"/>
                  <w:tcMar>
                    <w:top w:w="57" w:type="dxa"/>
                    <w:bottom w:w="57" w:type="dxa"/>
                  </w:tcMar>
                </w:tcPr>
                <w:p w:rsidR="004F0C50" w:rsidRDefault="00FC1ED1">
                  <w:pPr>
                    <w:jc w:val="center"/>
                    <w:rPr>
                      <w:rFonts w:ascii="Arial" w:eastAsia="Arial" w:hAnsi="Arial" w:cs="Arial"/>
                      <w:sz w:val="20"/>
                      <w:szCs w:val="20"/>
                    </w:rPr>
                  </w:pPr>
                  <w:r>
                    <w:rPr>
                      <w:rFonts w:ascii="Arial" w:eastAsia="Arial" w:hAnsi="Arial" w:cs="Arial"/>
                      <w:sz w:val="20"/>
                      <w:szCs w:val="20"/>
                    </w:rPr>
                    <w:t>N</w:t>
                  </w:r>
                </w:p>
              </w:tc>
            </w:tr>
            <w:tr w:rsidR="004F0C50">
              <w:trPr>
                <w:cantSplit/>
                <w:jc w:val="center"/>
              </w:trPr>
              <w:tc>
                <w:tcPr>
                  <w:tcW w:w="854" w:type="dxa"/>
                  <w:tcMar>
                    <w:top w:w="57" w:type="dxa"/>
                    <w:bottom w:w="57" w:type="dxa"/>
                  </w:tcMar>
                </w:tcPr>
                <w:p w:rsidR="004F0C50" w:rsidRDefault="00FC1ED1">
                  <w:pPr>
                    <w:jc w:val="center"/>
                    <w:rPr>
                      <w:rFonts w:ascii="Arial" w:eastAsia="Arial" w:hAnsi="Arial" w:cs="Arial"/>
                      <w:sz w:val="20"/>
                      <w:szCs w:val="20"/>
                    </w:rPr>
                  </w:pPr>
                  <w:r>
                    <w:rPr>
                      <w:rFonts w:ascii="Arial" w:eastAsia="Arial" w:hAnsi="Arial" w:cs="Arial"/>
                      <w:sz w:val="20"/>
                      <w:szCs w:val="20"/>
                    </w:rPr>
                    <w:t>K</w:t>
                  </w:r>
                </w:p>
              </w:tc>
            </w:tr>
            <w:tr w:rsidR="004F0C50">
              <w:trPr>
                <w:cantSplit/>
                <w:jc w:val="center"/>
              </w:trPr>
              <w:tc>
                <w:tcPr>
                  <w:tcW w:w="854" w:type="dxa"/>
                  <w:tcMar>
                    <w:top w:w="57" w:type="dxa"/>
                    <w:bottom w:w="57" w:type="dxa"/>
                  </w:tcMar>
                </w:tcPr>
                <w:p w:rsidR="004F0C50" w:rsidRDefault="00FC1ED1">
                  <w:pPr>
                    <w:jc w:val="center"/>
                    <w:rPr>
                      <w:rFonts w:ascii="Arial" w:eastAsia="Arial" w:hAnsi="Arial" w:cs="Arial"/>
                      <w:sz w:val="20"/>
                      <w:szCs w:val="20"/>
                    </w:rPr>
                  </w:pPr>
                  <w:r>
                    <w:rPr>
                      <w:rFonts w:ascii="Arial" w:eastAsia="Arial" w:hAnsi="Arial" w:cs="Arial"/>
                      <w:sz w:val="20"/>
                      <w:szCs w:val="20"/>
                    </w:rPr>
                    <w:t>N</w:t>
                  </w:r>
                </w:p>
              </w:tc>
            </w:tr>
            <w:tr w:rsidR="004F0C50">
              <w:trPr>
                <w:cantSplit/>
                <w:jc w:val="center"/>
              </w:trPr>
              <w:tc>
                <w:tcPr>
                  <w:tcW w:w="854" w:type="dxa"/>
                  <w:tcMar>
                    <w:top w:w="57" w:type="dxa"/>
                    <w:bottom w:w="57" w:type="dxa"/>
                  </w:tcMar>
                </w:tcPr>
                <w:p w:rsidR="004F0C50" w:rsidRDefault="00FC1ED1">
                  <w:pPr>
                    <w:jc w:val="center"/>
                    <w:rPr>
                      <w:rFonts w:ascii="Arial" w:eastAsia="Arial" w:hAnsi="Arial" w:cs="Arial"/>
                      <w:sz w:val="20"/>
                      <w:szCs w:val="20"/>
                    </w:rPr>
                  </w:pPr>
                  <w:r>
                    <w:rPr>
                      <w:rFonts w:ascii="Arial" w:eastAsia="Arial" w:hAnsi="Arial" w:cs="Arial"/>
                      <w:sz w:val="20"/>
                      <w:szCs w:val="20"/>
                    </w:rPr>
                    <w:t>K</w:t>
                  </w:r>
                </w:p>
              </w:tc>
            </w:tr>
            <w:tr w:rsidR="004F0C50">
              <w:trPr>
                <w:cantSplit/>
                <w:jc w:val="center"/>
              </w:trPr>
              <w:tc>
                <w:tcPr>
                  <w:tcW w:w="854" w:type="dxa"/>
                  <w:tcMar>
                    <w:top w:w="57" w:type="dxa"/>
                    <w:bottom w:w="57" w:type="dxa"/>
                  </w:tcMar>
                </w:tcPr>
                <w:p w:rsidR="004F0C50" w:rsidRDefault="00FC1ED1">
                  <w:pPr>
                    <w:jc w:val="center"/>
                    <w:rPr>
                      <w:rFonts w:ascii="Arial" w:eastAsia="Arial" w:hAnsi="Arial" w:cs="Arial"/>
                      <w:sz w:val="20"/>
                      <w:szCs w:val="20"/>
                    </w:rPr>
                  </w:pPr>
                  <w:r>
                    <w:rPr>
                      <w:rFonts w:ascii="Arial" w:eastAsia="Arial" w:hAnsi="Arial" w:cs="Arial"/>
                      <w:sz w:val="20"/>
                      <w:szCs w:val="20"/>
                    </w:rPr>
                    <w:t>K</w:t>
                  </w:r>
                </w:p>
              </w:tc>
            </w:tr>
            <w:tr w:rsidR="004F0C50">
              <w:trPr>
                <w:cantSplit/>
                <w:jc w:val="center"/>
              </w:trPr>
              <w:tc>
                <w:tcPr>
                  <w:tcW w:w="854" w:type="dxa"/>
                  <w:tcMar>
                    <w:top w:w="57" w:type="dxa"/>
                    <w:bottom w:w="57" w:type="dxa"/>
                  </w:tcMar>
                </w:tcPr>
                <w:p w:rsidR="004F0C50" w:rsidRDefault="00FC1ED1">
                  <w:pPr>
                    <w:jc w:val="center"/>
                    <w:rPr>
                      <w:rFonts w:ascii="Arial" w:eastAsia="Arial" w:hAnsi="Arial" w:cs="Arial"/>
                      <w:sz w:val="20"/>
                      <w:szCs w:val="20"/>
                    </w:rPr>
                  </w:pPr>
                  <w:r>
                    <w:rPr>
                      <w:rFonts w:ascii="Arial" w:eastAsia="Arial" w:hAnsi="Arial" w:cs="Arial"/>
                      <w:sz w:val="20"/>
                      <w:szCs w:val="20"/>
                    </w:rPr>
                    <w:t>N</w:t>
                  </w:r>
                </w:p>
              </w:tc>
            </w:tr>
            <w:tr w:rsidR="004F0C50">
              <w:trPr>
                <w:cantSplit/>
                <w:jc w:val="center"/>
              </w:trPr>
              <w:tc>
                <w:tcPr>
                  <w:tcW w:w="854" w:type="dxa"/>
                  <w:tcMar>
                    <w:top w:w="57" w:type="dxa"/>
                    <w:bottom w:w="57" w:type="dxa"/>
                  </w:tcMar>
                </w:tcPr>
                <w:p w:rsidR="004F0C50" w:rsidRDefault="00FC1ED1">
                  <w:pPr>
                    <w:jc w:val="center"/>
                    <w:rPr>
                      <w:rFonts w:ascii="Arial" w:eastAsia="Arial" w:hAnsi="Arial" w:cs="Arial"/>
                      <w:sz w:val="20"/>
                      <w:szCs w:val="20"/>
                    </w:rPr>
                  </w:pPr>
                  <w:r>
                    <w:rPr>
                      <w:rFonts w:ascii="Arial" w:eastAsia="Arial" w:hAnsi="Arial" w:cs="Arial"/>
                      <w:sz w:val="20"/>
                      <w:szCs w:val="20"/>
                    </w:rPr>
                    <w:t>K</w:t>
                  </w:r>
                </w:p>
              </w:tc>
            </w:tr>
          </w:tbl>
          <w:p w:rsidR="004F0C50" w:rsidRDefault="004F0C50">
            <w:pPr>
              <w:rPr>
                <w:rFonts w:ascii="Arial" w:eastAsia="Arial" w:hAnsi="Arial" w:cs="Arial"/>
                <w:sz w:val="20"/>
                <w:szCs w:val="20"/>
              </w:rPr>
            </w:pP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4</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t>6</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 xml:space="preserve">Elektroninis spaudas – tai </w:t>
            </w:r>
          </w:p>
          <w:p w:rsidR="004F0C50" w:rsidRDefault="00FC1ED1">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fizinio asmens naudojama elektroninė technologija, skirta dokumentams elektroniniu būdu pasirašyti ir patvirtinti, jog asmuo pats sukūrė dokumentą bei užtikrinti jo vientisumą</w:t>
            </w:r>
          </w:p>
          <w:p w:rsidR="004F0C50" w:rsidRDefault="00FC1ED1">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elektroninė technologija, skirta dokumentams arba duomenims autentifikuoti, užtikrinant jų kilmės patikimumą ir vientisumą bei naudojamas įmonės, organizacijos ar kitos juridinio asmens tapatybei patvirtinti.</w:t>
            </w:r>
          </w:p>
          <w:p w:rsidR="004F0C50" w:rsidRDefault="00FC1ED1">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elektroninė sistema, naudojama dokumentų turini</w:t>
            </w:r>
            <w:r>
              <w:rPr>
                <w:rFonts w:ascii="Arial" w:eastAsia="Arial" w:hAnsi="Arial" w:cs="Arial"/>
                <w:color w:val="000000"/>
                <w:sz w:val="20"/>
                <w:szCs w:val="20"/>
              </w:rPr>
              <w:t>ui redaguoti ir keisti, kai reikia užtikrinti informacijos tikslumą ir nuoseklumą</w:t>
            </w:r>
          </w:p>
          <w:p w:rsidR="004F0C50" w:rsidRDefault="00FC1ED1">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elektroninė priemonė, leidžianti fiziniam asmeniui anonimiškai siųsti dokumentus internetu, neatskleidžiant nei jo, nei organizacijos tapatybės</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lastRenderedPageBreak/>
              <w:t>elektroninė technologija, skir</w:t>
            </w:r>
            <w:r>
              <w:rPr>
                <w:rFonts w:ascii="Arial" w:eastAsia="Arial" w:hAnsi="Arial" w:cs="Arial"/>
                <w:sz w:val="20"/>
                <w:szCs w:val="20"/>
              </w:rPr>
              <w:t xml:space="preserve">ta dokumentams arba duomenims autentifikuoti, užtikrinant jų kilmės </w:t>
            </w:r>
            <w:r>
              <w:rPr>
                <w:rFonts w:ascii="Arial" w:eastAsia="Arial" w:hAnsi="Arial" w:cs="Arial"/>
                <w:sz w:val="20"/>
                <w:szCs w:val="20"/>
              </w:rPr>
              <w:lastRenderedPageBreak/>
              <w:t>patikimumą ir nepažeistumą bei naudojamas įmonės, organizacijos ar kitos juridinio asmens tapatybei patvirtinti.</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lastRenderedPageBreak/>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lastRenderedPageBreak/>
              <w:t>7</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Kam gali būti išduodamas elektroninis spaudas?</w:t>
            </w:r>
          </w:p>
          <w:p w:rsidR="004F0C50" w:rsidRDefault="00FC1ED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Kiekienam pilnamečiui fiziniam asmeniui</w:t>
            </w:r>
          </w:p>
          <w:p w:rsidR="004F0C50" w:rsidRDefault="00FC1ED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Tik juridiniams asmenims</w:t>
            </w:r>
          </w:p>
          <w:p w:rsidR="004F0C50" w:rsidRDefault="00FC1ED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Ir fiziniams ir juridiniams asmenims</w:t>
            </w:r>
          </w:p>
          <w:p w:rsidR="004F0C50" w:rsidRDefault="00FC1ED1">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Tik valstybinėms institucijoms</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Tik juridiniams asmenims</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t>8</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Kokia elektroninės laiko žymos paskirtis?</w:t>
            </w:r>
          </w:p>
          <w:p w:rsidR="004F0C50" w:rsidRDefault="00FC1ED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Laiko žyma suteikia unikalų dokumento registracijos numerį, kuris leidžia nustatyti to dokumento savininką, sukūrimo vietą ir laiką</w:t>
            </w:r>
          </w:p>
          <w:p w:rsidR="004F0C50" w:rsidRDefault="00FC1ED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Laiko žyma nurodo dokumento galiojimo laikotarpį, po kurio dokumentas tampa nebega</w:t>
            </w:r>
            <w:r>
              <w:rPr>
                <w:rFonts w:ascii="Arial" w:eastAsia="Arial" w:hAnsi="Arial" w:cs="Arial"/>
                <w:color w:val="000000"/>
                <w:sz w:val="20"/>
                <w:szCs w:val="20"/>
              </w:rPr>
              <w:t>liojantis ir turi būti pakeistas nauju</w:t>
            </w:r>
          </w:p>
          <w:p w:rsidR="004F0C50" w:rsidRDefault="00FC1ED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Laiko žyma garantuoja, kad konkretus dokumentas arba duomenys egzistavo tam tikru metu ir nuo to momento nebuvo pakeisti </w:t>
            </w:r>
          </w:p>
          <w:p w:rsidR="004F0C50" w:rsidRDefault="00FC1ED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Laiko žyma suteikia galimybę elektroninį dokumentą perskaityti tik nurodytam laiko momentui pra</w:t>
            </w:r>
            <w:r>
              <w:rPr>
                <w:rFonts w:ascii="Arial" w:eastAsia="Arial" w:hAnsi="Arial" w:cs="Arial"/>
                <w:color w:val="000000"/>
                <w:sz w:val="20"/>
                <w:szCs w:val="20"/>
              </w:rPr>
              <w:t>ėjus ir fiksuoja dokumento peržiūrų skaičių</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Laiko žyma garantuoja, kad konkretus dokumentas arba duomenys egzistavo tam tikru metu ir nuo to momento nebuvo pakeisti</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rPr>
          <w:trHeight w:val="2685"/>
        </w:trPr>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t>9</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 xml:space="preserve">Pažymėkite du iš šių teiginių, taikytinus </w:t>
            </w:r>
            <w:r>
              <w:rPr>
                <w:rFonts w:ascii="Arial" w:eastAsia="Arial" w:hAnsi="Arial" w:cs="Arial"/>
                <w:i/>
                <w:sz w:val="20"/>
                <w:szCs w:val="20"/>
              </w:rPr>
              <w:t>privačiąjam</w:t>
            </w:r>
            <w:r>
              <w:rPr>
                <w:rFonts w:ascii="Arial" w:eastAsia="Arial" w:hAnsi="Arial" w:cs="Arial"/>
                <w:sz w:val="20"/>
                <w:szCs w:val="20"/>
              </w:rPr>
              <w:t xml:space="preserve"> šifravimo raktui.</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raktas, naudojamas duomenims užšifruoti, kad tik turintis atitinkamą viešąjį raktą galėtų juos dešifruoti</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slaptas raktas, kurį turi tik duomenų savininkas, ir naudojamas užšifruotiems duomenims iššifruoti</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raktas, kuris leidži</w:t>
            </w:r>
            <w:r>
              <w:rPr>
                <w:rFonts w:ascii="Arial" w:eastAsia="Arial" w:hAnsi="Arial" w:cs="Arial"/>
                <w:sz w:val="20"/>
                <w:szCs w:val="20"/>
              </w:rPr>
              <w:t>a visiems vartotojams, turintiems kurį nors viešąjį raktą, dešifruoti užšifruotus duomenis</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raktas, kuriuo gali būti dalijamas su kitais, kad jie galėtų iššifruoti užšifruotus duomenis</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raktas, kuriuo nesidalijama su kitais, ir kuris užtikrina, kad t</w:t>
            </w:r>
            <w:r>
              <w:rPr>
                <w:rFonts w:ascii="Arial" w:eastAsia="Arial" w:hAnsi="Arial" w:cs="Arial"/>
                <w:sz w:val="20"/>
                <w:szCs w:val="20"/>
              </w:rPr>
              <w:t>ik duomenų savininkas gali pasiekti ir iššifruoti užšifruotus duomenis</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Tai slaptas raktas, kurį turi tik duomenų savininkas, ir naudojamas užšifruotiems duomenims iššifruoti</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 xml:space="preserve">Tai raktas, naudojamas duomenims užšifruoti, kad tik turintis atitinkamą viešąjį </w:t>
            </w:r>
            <w:r>
              <w:rPr>
                <w:rFonts w:ascii="Arial" w:eastAsia="Arial" w:hAnsi="Arial" w:cs="Arial"/>
                <w:sz w:val="20"/>
                <w:szCs w:val="20"/>
              </w:rPr>
              <w:t>raktą galėtų juos dešifruoti</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 xml:space="preserve">Tai raktas, kuriuo nesidalijama su kitais, ir kuris užtikrina, kad tik duomenų savininkas gali pasiekti ir </w:t>
            </w:r>
            <w:r>
              <w:rPr>
                <w:rFonts w:ascii="Arial" w:eastAsia="Arial" w:hAnsi="Arial" w:cs="Arial"/>
                <w:sz w:val="20"/>
                <w:szCs w:val="20"/>
              </w:rPr>
              <w:lastRenderedPageBreak/>
              <w:t>iššifruoti užšifruotus duomenis</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lastRenderedPageBreak/>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shd w:val="clear" w:color="auto" w:fill="FAE2D6"/>
          </w:tcPr>
          <w:p w:rsidR="004F0C50" w:rsidRDefault="00FC1ED1">
            <w:pPr>
              <w:jc w:val="center"/>
              <w:rPr>
                <w:rFonts w:ascii="Arial" w:eastAsia="Arial" w:hAnsi="Arial" w:cs="Arial"/>
                <w:sz w:val="20"/>
                <w:szCs w:val="20"/>
              </w:rPr>
            </w:pPr>
            <w:r>
              <w:rPr>
                <w:rFonts w:ascii="Arial" w:eastAsia="Arial" w:hAnsi="Arial" w:cs="Arial"/>
                <w:sz w:val="20"/>
                <w:szCs w:val="20"/>
              </w:rPr>
              <w:lastRenderedPageBreak/>
              <w:t>10</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 xml:space="preserve">Pažymėkite du iš šių teiginių, taikytinus </w:t>
            </w:r>
            <w:r>
              <w:rPr>
                <w:rFonts w:ascii="Arial" w:eastAsia="Arial" w:hAnsi="Arial" w:cs="Arial"/>
                <w:i/>
                <w:sz w:val="20"/>
                <w:szCs w:val="20"/>
              </w:rPr>
              <w:t>viešąjam</w:t>
            </w:r>
            <w:r>
              <w:rPr>
                <w:rFonts w:ascii="Arial" w:eastAsia="Arial" w:hAnsi="Arial" w:cs="Arial"/>
                <w:sz w:val="20"/>
                <w:szCs w:val="20"/>
              </w:rPr>
              <w:t xml:space="preserve"> šifravimo raktui</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raktas, kuriuo galima laisvai dalytis, kad kiti galėtų užšifruoti duomenis, kuriuos jie nori siųsti asmeniui, turinčiam privatųjį raktą</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slaptas raktas, kurį turi tik duomenų savininkas, ir jis naudojamas užšifruotiems duomenims iš</w:t>
            </w:r>
            <w:r>
              <w:rPr>
                <w:rFonts w:ascii="Arial" w:eastAsia="Arial" w:hAnsi="Arial" w:cs="Arial"/>
                <w:sz w:val="20"/>
                <w:szCs w:val="20"/>
              </w:rPr>
              <w:t>šifruoti</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raktas, kuris leidžia bet kuriam, turinčiam privatųjį raktą, iššifruoti užšifruotus duomenis.</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raktas, naudojamas duomenims užšifruoti taip, kad tik turintis atitinkamą privatųjį raktą galėtų juos iššifruoti</w:t>
            </w:r>
          </w:p>
          <w:p w:rsidR="004F0C50" w:rsidRDefault="00FC1ED1">
            <w:pPr>
              <w:numPr>
                <w:ilvl w:val="0"/>
                <w:numId w:val="4"/>
              </w:numPr>
              <w:rPr>
                <w:rFonts w:ascii="Arial" w:eastAsia="Arial" w:hAnsi="Arial" w:cs="Arial"/>
                <w:sz w:val="20"/>
                <w:szCs w:val="20"/>
              </w:rPr>
            </w:pPr>
            <w:r>
              <w:rPr>
                <w:rFonts w:ascii="Arial" w:eastAsia="Arial" w:hAnsi="Arial" w:cs="Arial"/>
                <w:sz w:val="20"/>
                <w:szCs w:val="20"/>
              </w:rPr>
              <w:t>Tai slaptas raktas, užtikrinanti</w:t>
            </w:r>
            <w:r>
              <w:rPr>
                <w:rFonts w:ascii="Arial" w:eastAsia="Arial" w:hAnsi="Arial" w:cs="Arial"/>
                <w:sz w:val="20"/>
                <w:szCs w:val="20"/>
              </w:rPr>
              <w:t>s duomenų vientisumą</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Tai raktas, kuriuo galima laisvai dalytis, kad kiti galėtų užšifruoti duomenis, kuriuos jie nori siųsti asmeniui, turinčiam privatųjį raktą.</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Tai raktas, naudojamas duomenims užšifruoti taip, kad tik turintis atitinkamą privatųjį raktą galėtų juos iššifruoti</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11</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Kurie iš išvardintų teisės aktų reglamentuoja asmens duomenų apsaugą Lietuvos Respublikoje? Pažymėkite visus</w:t>
            </w:r>
            <w:r>
              <w:rPr>
                <w:rFonts w:ascii="Arial" w:eastAsia="Arial" w:hAnsi="Arial" w:cs="Arial"/>
                <w:sz w:val="20"/>
                <w:szCs w:val="20"/>
              </w:rPr>
              <w:t xml:space="preserve"> teisingus atsakymus.</w:t>
            </w:r>
          </w:p>
          <w:p w:rsidR="004F0C50" w:rsidRDefault="00FC1ED1">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Europos Parlamento ir Tarybos Bendrasis duomenų apsaugos reglamentas</w:t>
            </w:r>
          </w:p>
          <w:p w:rsidR="004F0C50" w:rsidRDefault="00FC1ED1">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Lietuvos Respublikos Autorių teisių ir gretutinių teisių įstatymas </w:t>
            </w:r>
          </w:p>
          <w:p w:rsidR="004F0C50" w:rsidRDefault="00FC1ED1">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Lietuvos Respublikos Asmens duomenų teisinės apsaugos įstatymas</w:t>
            </w:r>
          </w:p>
          <w:p w:rsidR="004F0C50" w:rsidRDefault="00FC1ED1">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Lietuvos Respublikos Kibernetinio saugumo įstatymasįstatymas</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Europos Parlamento ir Tarybos Bendrasis duomenų apsaugos reglamentas</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Lietuvos Respublikos Asmens duomenų teisinės apsaugos įstatymas</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12</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Kurios Lietuvos Respublikos in</w:t>
            </w:r>
            <w:r>
              <w:rPr>
                <w:rFonts w:ascii="Arial" w:eastAsia="Arial" w:hAnsi="Arial" w:cs="Arial"/>
                <w:sz w:val="20"/>
                <w:szCs w:val="20"/>
              </w:rPr>
              <w:t>stitucijos kontroliuoja, kaip laikomasi asmens duomenų apsaugos įstatymų nuostatų?</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Valstybinė vartotojų teisių apsaugos tarnyba</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Valstybinė duomenų apsaugos inspekcija</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Vadovybės apsaugos tarnyba</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Valstybės kontrolė </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Valstybinė duomenų apsaugos inspekcija</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lastRenderedPageBreak/>
              <w:t>13</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Organizacija nori kaupti nuotraukų, turinčių istorinę ar visuomeninę svarbą šios organizacijos veiklai, archyvą. Kokio pobūdžio nuotraukas ji galėtų kaupti tame archyve, neturėdama nuotraukose užfiksuotų asmenų sutikimo?</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Organizacijos darbuotojų gimtadienių šventimo vakarėlių nuotraukos</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Organizacijos vadovo paskyrimo ceremonijos nuotraukos</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Organizacijos darbuotojų valstybinio apdovanojimo akimirkų nuotraukos</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Kalėdų eglutės renginio darbuotojų vaikams akimirkos</w:t>
            </w:r>
          </w:p>
          <w:p w:rsidR="004F0C50" w:rsidRDefault="00FC1ED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Organizacijo</w:t>
            </w:r>
            <w:r>
              <w:rPr>
                <w:rFonts w:ascii="Arial" w:eastAsia="Arial" w:hAnsi="Arial" w:cs="Arial"/>
                <w:color w:val="000000"/>
                <w:sz w:val="20"/>
                <w:szCs w:val="20"/>
              </w:rPr>
              <w:t>s darbuotojų turistinės poilsinės išvykos nuotraukos</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Organizacijos vadovo paskyrimo ceremonijos nuotraukos</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Organizacijos darbuotojų valstybinio apdovanojimo akimirkų nuotraukos</w:t>
            </w:r>
          </w:p>
          <w:p w:rsidR="004F0C50" w:rsidRDefault="004F0C50">
            <w:pPr>
              <w:rPr>
                <w:rFonts w:ascii="Arial" w:eastAsia="Arial" w:hAnsi="Arial" w:cs="Arial"/>
                <w:sz w:val="20"/>
                <w:szCs w:val="20"/>
              </w:rPr>
            </w:pP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14</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Ar gali organizacija kaupti ir laikyti visas ir visų savo organizacijos renginių nuotraukas, padarytas ir gautas iki BDAR įsigaliojimo?</w:t>
            </w:r>
          </w:p>
          <w:p w:rsidR="004F0C50" w:rsidRDefault="00FC1ED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Taip, gali, nes įstatymai netaikomi atgaline data</w:t>
            </w:r>
          </w:p>
          <w:p w:rsidR="004F0C50" w:rsidRDefault="00FC1ED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Ne, negali, nes BDAR taikomas visiems asmens duomenims, kuriuos organizacija turi arba tvarko, nepriklausomai nuo jų gavimo datos</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Ne, negali, nes BDAR taikomas visiems asmens duomenims, kuriuos organizacija turi arba tvarko, nepriklausomai nuo jų gavimo da</w:t>
            </w:r>
            <w:r>
              <w:rPr>
                <w:rFonts w:ascii="Arial" w:eastAsia="Arial" w:hAnsi="Arial" w:cs="Arial"/>
                <w:sz w:val="20"/>
                <w:szCs w:val="20"/>
              </w:rPr>
              <w:t>tos</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15</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Kurių duomenų organizacija (duomenų valdytojas), net gavusi asmens (duomenų subjekto) prašymą, negali atskleisti? Pažymėkite visus teisingus atsakymus:</w:t>
            </w:r>
          </w:p>
          <w:p w:rsidR="004F0C50" w:rsidRDefault="00FC1ED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Duomenų, susijusių su kitų asmenų teisėmis ir privatumu</w:t>
            </w:r>
          </w:p>
          <w:p w:rsidR="004F0C50" w:rsidRDefault="00FC1ED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Duomenų, kurių atskleidimas gali trukdyti vykstantiems teisėsaugos tyrimams arba kelti pavojų visuomenės ar nacionaliniam saugumui</w:t>
            </w:r>
          </w:p>
          <w:p w:rsidR="004F0C50" w:rsidRDefault="00FC1ED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Duomenų, susijusių su vidaus tyrimais ar darbuotojų vertinimais</w:t>
            </w:r>
          </w:p>
          <w:p w:rsidR="004F0C50" w:rsidRDefault="00FC1ED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Konfidencialių verslo ar profesinių duomenų</w:t>
            </w:r>
          </w:p>
          <w:p w:rsidR="004F0C50" w:rsidRDefault="00FC1ED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Duomenų, kurių pa</w:t>
            </w:r>
            <w:r>
              <w:rPr>
                <w:rFonts w:ascii="Arial" w:eastAsia="Arial" w:hAnsi="Arial" w:cs="Arial"/>
                <w:color w:val="000000"/>
                <w:sz w:val="20"/>
                <w:szCs w:val="20"/>
              </w:rPr>
              <w:t>teikimas lemtų duomenų apsaugos technologijų, prieigos kontrolės metodų atskleidimą ir tai galėtų padaryti sistemas pažeidžiamas</w:t>
            </w:r>
          </w:p>
          <w:p w:rsidR="004F0C50" w:rsidRDefault="00FC1ED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Visi atsakymai teisingi</w:t>
            </w:r>
          </w:p>
          <w:p w:rsidR="004F0C50" w:rsidRDefault="004F0C50">
            <w:pPr>
              <w:rPr>
                <w:rFonts w:ascii="Arial" w:eastAsia="Arial" w:hAnsi="Arial" w:cs="Arial"/>
                <w:sz w:val="20"/>
                <w:szCs w:val="20"/>
              </w:rPr>
            </w:pP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Visi atsakymai teisingi</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3</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16</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Kurias iš žemiau išvardytų teisių turi asmuo (duomenų subjektas):</w:t>
            </w:r>
          </w:p>
          <w:p w:rsidR="004F0C50" w:rsidRDefault="00FC1ED1">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gauti informaciją apie savo asmens duomenų tvarkymą </w:t>
            </w:r>
          </w:p>
          <w:p w:rsidR="004F0C50" w:rsidRDefault="00FC1ED1">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susipažinti su saugomais savo asmens duomenimis </w:t>
            </w:r>
          </w:p>
          <w:p w:rsidR="004F0C50" w:rsidRDefault="00FC1ED1">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atšaukti savo sutikimą tvarkyti asmens duomenis </w:t>
            </w:r>
          </w:p>
          <w:p w:rsidR="004F0C50" w:rsidRDefault="00FC1ED1">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prašyti ištrinti su duomenų subjektu su</w:t>
            </w:r>
            <w:r>
              <w:rPr>
                <w:rFonts w:ascii="Arial" w:eastAsia="Arial" w:hAnsi="Arial" w:cs="Arial"/>
                <w:color w:val="000000"/>
                <w:sz w:val="20"/>
                <w:szCs w:val="20"/>
              </w:rPr>
              <w:t xml:space="preserve">sijusius asmens duomenis </w:t>
            </w:r>
          </w:p>
          <w:p w:rsidR="004F0C50" w:rsidRDefault="00FC1ED1">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prašyti apriboti savo asmens duomenų tvarkymą </w:t>
            </w:r>
          </w:p>
          <w:p w:rsidR="004F0C50" w:rsidRDefault="00FC1ED1">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nesutikti, kad su juo susiję asmens duomenys būtų tvarkomi</w:t>
            </w:r>
          </w:p>
          <w:p w:rsidR="004F0C50" w:rsidRDefault="00FC1ED1">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turi visas išvardytas teises</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turi visas išvardytas teises</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3</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lastRenderedPageBreak/>
              <w:t>17</w:t>
            </w:r>
          </w:p>
        </w:tc>
        <w:tc>
          <w:tcPr>
            <w:tcW w:w="6825" w:type="dxa"/>
          </w:tcPr>
          <w:p w:rsidR="004F0C50" w:rsidRDefault="00FC1ED1">
            <w:pPr>
              <w:rPr>
                <w:sz w:val="20"/>
                <w:szCs w:val="20"/>
              </w:rPr>
            </w:pPr>
            <w:r>
              <w:rPr>
                <w:rFonts w:ascii="Arial" w:eastAsia="Arial" w:hAnsi="Arial" w:cs="Arial"/>
                <w:sz w:val="20"/>
                <w:szCs w:val="20"/>
              </w:rPr>
              <w:t xml:space="preserve">Kurios paslaugos laikytinos </w:t>
            </w:r>
            <w:r>
              <w:rPr>
                <w:sz w:val="20"/>
                <w:szCs w:val="20"/>
              </w:rPr>
              <w:t>elektroninės informacijos prieglobos paslaugomis?</w:t>
            </w:r>
          </w:p>
          <w:p w:rsidR="004F0C50" w:rsidRDefault="00FC1ED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Tinklalapių priegloba</w:t>
            </w:r>
          </w:p>
          <w:p w:rsidR="004F0C50" w:rsidRDefault="00FC1ED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Programinės įrangos licencijavimas</w:t>
            </w:r>
          </w:p>
          <w:p w:rsidR="004F0C50" w:rsidRDefault="00FC1ED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Debesų saugykla</w:t>
            </w:r>
          </w:p>
          <w:p w:rsidR="004F0C50" w:rsidRDefault="00FC1ED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 pašto priegloba</w:t>
            </w:r>
          </w:p>
          <w:p w:rsidR="004F0C50" w:rsidRDefault="00FC1ED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Išorinių laikmenų su svarbia informacija saugojimo paslauga nuomojamame banko seife</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Tinklalapių priegloba</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Debesų</w:t>
            </w:r>
            <w:r>
              <w:rPr>
                <w:rFonts w:ascii="Arial" w:eastAsia="Arial" w:hAnsi="Arial" w:cs="Arial"/>
                <w:sz w:val="20"/>
                <w:szCs w:val="20"/>
              </w:rPr>
              <w:t xml:space="preserve"> saugykla</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El. pašto priegloba</w:t>
            </w:r>
          </w:p>
          <w:p w:rsidR="004F0C50" w:rsidRDefault="004F0C50">
            <w:pPr>
              <w:rPr>
                <w:rFonts w:ascii="Arial" w:eastAsia="Arial" w:hAnsi="Arial" w:cs="Arial"/>
                <w:sz w:val="20"/>
                <w:szCs w:val="20"/>
              </w:rPr>
            </w:pPr>
          </w:p>
        </w:tc>
        <w:tc>
          <w:tcPr>
            <w:tcW w:w="1275" w:type="dxa"/>
          </w:tcPr>
          <w:p w:rsidR="004F0C50" w:rsidRDefault="004F0C50">
            <w:pPr>
              <w:rPr>
                <w:rFonts w:ascii="Arial" w:eastAsia="Arial" w:hAnsi="Arial" w:cs="Arial"/>
                <w:sz w:val="20"/>
                <w:szCs w:val="20"/>
              </w:rPr>
            </w:pPr>
          </w:p>
        </w:tc>
        <w:tc>
          <w:tcPr>
            <w:tcW w:w="1110" w:type="dxa"/>
          </w:tcPr>
          <w:p w:rsidR="004F0C50" w:rsidRDefault="004F0C50">
            <w:pPr>
              <w:rPr>
                <w:rFonts w:ascii="Arial" w:eastAsia="Arial" w:hAnsi="Arial" w:cs="Arial"/>
                <w:sz w:val="20"/>
                <w:szCs w:val="20"/>
              </w:rPr>
            </w:pP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18</w:t>
            </w:r>
          </w:p>
        </w:tc>
        <w:tc>
          <w:tcPr>
            <w:tcW w:w="6825" w:type="dxa"/>
          </w:tcPr>
          <w:p w:rsidR="004F0C50" w:rsidRDefault="00FC1ED1">
            <w:pPr>
              <w:rPr>
                <w:sz w:val="20"/>
                <w:szCs w:val="20"/>
              </w:rPr>
            </w:pPr>
            <w:r>
              <w:rPr>
                <w:rFonts w:ascii="Arial" w:eastAsia="Arial" w:hAnsi="Arial" w:cs="Arial"/>
                <w:sz w:val="20"/>
                <w:szCs w:val="20"/>
              </w:rPr>
              <w:t xml:space="preserve">Kas laikoma </w:t>
            </w:r>
            <w:r>
              <w:rPr>
                <w:sz w:val="20"/>
                <w:szCs w:val="20"/>
              </w:rPr>
              <w:t>ypatingos svarbos informacine infrastruktūra?</w:t>
            </w:r>
          </w:p>
          <w:p w:rsidR="004F0C50" w:rsidRDefault="00FC1ED1">
            <w:pPr>
              <w:numPr>
                <w:ilvl w:val="0"/>
                <w:numId w:val="1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Aplinka, kurioje pavieniuose kompiuteriuose ar kitoje informacinėje ir ryšių technologijų įrangoje sukuriama elektroninė informacija ir (arba) perduodama per elektroninių ryšių tinklu sujungtus kompiuterius ar kitą informacinių ir ryšių technologijų įrangą</w:t>
            </w:r>
            <w:r>
              <w:rPr>
                <w:rFonts w:ascii="Arial" w:eastAsia="Arial" w:hAnsi="Arial" w:cs="Arial"/>
                <w:color w:val="000000"/>
                <w:sz w:val="20"/>
                <w:szCs w:val="20"/>
              </w:rPr>
              <w:t>.</w:t>
            </w:r>
          </w:p>
          <w:p w:rsidR="004F0C50" w:rsidRDefault="00FC1ED1">
            <w:pPr>
              <w:numPr>
                <w:ilvl w:val="0"/>
                <w:numId w:val="1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Elektroninių ryšių tinklas ar jo dalis, informacinė sistema ar jos dalis, informacinių sistemų grupė ar pramoninių procesų valdymo sistema ar jos dalis, nepaisant to, ar jos valdytojas yra privatus ar viešojo administravimo subjektas, kuriuose įvykęs kib</w:t>
            </w:r>
            <w:r>
              <w:rPr>
                <w:rFonts w:ascii="Arial" w:eastAsia="Arial" w:hAnsi="Arial" w:cs="Arial"/>
                <w:color w:val="000000"/>
                <w:sz w:val="20"/>
                <w:szCs w:val="20"/>
              </w:rPr>
              <w:t>ernetinis incidentas gali padaryti didelę žalą nacionaliniam saugumui, šalies ūkiui, valstybės ir visuomenės interesams.</w:t>
            </w:r>
          </w:p>
          <w:p w:rsidR="004F0C50" w:rsidRDefault="00FC1ED1">
            <w:pPr>
              <w:numPr>
                <w:ilvl w:val="0"/>
                <w:numId w:val="1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Visuma teisinių, informacijos sklaidos, organizacinių ir techninių priemonių, skirtų kibernetiniams incidentams išvengti, aptikti, analizuoti ir reaguoti į juos, taip pat įprastinei elektroninių ryšių tinklų, informacinių sistemų ar pramoninių procesų vald</w:t>
            </w:r>
            <w:r>
              <w:rPr>
                <w:rFonts w:ascii="Arial" w:eastAsia="Arial" w:hAnsi="Arial" w:cs="Arial"/>
                <w:color w:val="000000"/>
                <w:sz w:val="20"/>
                <w:szCs w:val="20"/>
              </w:rPr>
              <w:t>ymo sistemų veiklai, įvykus šiems incidentams, atkurti.</w:t>
            </w:r>
          </w:p>
          <w:p w:rsidR="004F0C50" w:rsidRDefault="00FC1ED1">
            <w:pPr>
              <w:numPr>
                <w:ilvl w:val="0"/>
                <w:numId w:val="1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Informacinės visuomenės paslaugos, apimančios galimybės naudotis elektroninės informacijos ir elektroninių duomenų (toliau – elektroninė informacija) kūrimo ir tvarkymo priemonėmis sudarymą ir (arba) </w:t>
            </w:r>
            <w:r>
              <w:rPr>
                <w:rFonts w:ascii="Arial" w:eastAsia="Arial" w:hAnsi="Arial" w:cs="Arial"/>
                <w:color w:val="000000"/>
                <w:sz w:val="20"/>
                <w:szCs w:val="20"/>
              </w:rPr>
              <w:t>paslaugų gavėjo pateiktos elektroninės informacijos saugojimą</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Elektroninių ryšių tinklas ar jo dalis, informacinė sistema ar jos dalis, informacinių sistemų grupė ar pramoninių procesų valdymo sistema ar jos dalis, nepaisant to, ar jos valdytojas yra priva</w:t>
            </w:r>
            <w:r>
              <w:rPr>
                <w:rFonts w:ascii="Arial" w:eastAsia="Arial" w:hAnsi="Arial" w:cs="Arial"/>
                <w:sz w:val="20"/>
                <w:szCs w:val="20"/>
              </w:rPr>
              <w:t>tus ar viešojo administravimo subjektas, kuriuose įvykęs kibernetinis incidentas gali padaryti didelę žalą nacionaliniam saugumui, šalies ūkiui, valstybės ir visuomenės interesams.</w:t>
            </w:r>
          </w:p>
          <w:p w:rsidR="004F0C50" w:rsidRDefault="004F0C50">
            <w:pPr>
              <w:rPr>
                <w:rFonts w:ascii="Arial" w:eastAsia="Arial" w:hAnsi="Arial" w:cs="Arial"/>
                <w:sz w:val="20"/>
                <w:szCs w:val="20"/>
              </w:rPr>
            </w:pPr>
          </w:p>
        </w:tc>
        <w:tc>
          <w:tcPr>
            <w:tcW w:w="1275" w:type="dxa"/>
          </w:tcPr>
          <w:p w:rsidR="004F0C50" w:rsidRDefault="004F0C50">
            <w:pPr>
              <w:rPr>
                <w:rFonts w:ascii="Arial" w:eastAsia="Arial" w:hAnsi="Arial" w:cs="Arial"/>
                <w:sz w:val="20"/>
                <w:szCs w:val="20"/>
              </w:rPr>
            </w:pPr>
          </w:p>
        </w:tc>
        <w:tc>
          <w:tcPr>
            <w:tcW w:w="1110" w:type="dxa"/>
          </w:tcPr>
          <w:p w:rsidR="004F0C50" w:rsidRDefault="004F0C50">
            <w:pPr>
              <w:rPr>
                <w:rFonts w:ascii="Arial" w:eastAsia="Arial" w:hAnsi="Arial" w:cs="Arial"/>
                <w:sz w:val="20"/>
                <w:szCs w:val="20"/>
              </w:rPr>
            </w:pP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19</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Kurie iš paminėtų pavyzdžių priskirtini kiber</w:t>
            </w:r>
            <w:r>
              <w:rPr>
                <w:rFonts w:ascii="Arial" w:eastAsia="Arial" w:hAnsi="Arial" w:cs="Arial"/>
                <w:sz w:val="20"/>
                <w:szCs w:val="20"/>
              </w:rPr>
              <w:t>netinėms erdvėms?</w:t>
            </w:r>
          </w:p>
          <w:p w:rsidR="004F0C50" w:rsidRDefault="00FC1ED1">
            <w:pPr>
              <w:numPr>
                <w:ilvl w:val="0"/>
                <w:numId w:val="1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Debesų saugykla.</w:t>
            </w:r>
          </w:p>
          <w:p w:rsidR="004F0C50" w:rsidRDefault="00FC1ED1">
            <w:pPr>
              <w:numPr>
                <w:ilvl w:val="0"/>
                <w:numId w:val="1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„Pokalbiai, vykstantys realioje kavinėje. </w:t>
            </w:r>
          </w:p>
          <w:p w:rsidR="004F0C50" w:rsidRDefault="00FC1ED1">
            <w:pPr>
              <w:numPr>
                <w:ilvl w:val="0"/>
                <w:numId w:val="1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Socialinis tinklas „Facebook“.</w:t>
            </w:r>
          </w:p>
          <w:p w:rsidR="004F0C50" w:rsidRDefault="00FC1ED1">
            <w:pPr>
              <w:numPr>
                <w:ilvl w:val="0"/>
                <w:numId w:val="1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Spausdintų laikraščių saugykla.</w:t>
            </w:r>
          </w:p>
          <w:p w:rsidR="004F0C50" w:rsidRDefault="004F0C50">
            <w:pPr>
              <w:rPr>
                <w:rFonts w:ascii="Arial" w:eastAsia="Arial" w:hAnsi="Arial" w:cs="Arial"/>
                <w:sz w:val="20"/>
                <w:szCs w:val="20"/>
              </w:rPr>
            </w:pP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Debesų saugykla.</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Socialinis tinklas „Facebook“.</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20</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 xml:space="preserve">Kurie iš šių įvykių </w:t>
            </w:r>
            <w:r>
              <w:rPr>
                <w:rFonts w:ascii="Arial" w:eastAsia="Arial" w:hAnsi="Arial" w:cs="Arial"/>
                <w:b/>
                <w:sz w:val="20"/>
                <w:szCs w:val="20"/>
              </w:rPr>
              <w:t>tikrai laikytini</w:t>
            </w:r>
            <w:r>
              <w:rPr>
                <w:rFonts w:ascii="Arial" w:eastAsia="Arial" w:hAnsi="Arial" w:cs="Arial"/>
                <w:sz w:val="20"/>
                <w:szCs w:val="20"/>
              </w:rPr>
              <w:t xml:space="preserve"> kibernetiniais incidentais:</w:t>
            </w:r>
          </w:p>
          <w:p w:rsidR="004F0C50" w:rsidRDefault="00FC1ED1">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Svarbių duomenų nutekėjimas.</w:t>
            </w:r>
          </w:p>
          <w:p w:rsidR="004F0C50" w:rsidRDefault="00FC1ED1">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Dėl techninių problemų nutrūkęs interneto ryšys, laikinai pertraukęs Valstybės vadovo kreipimosi šalies gyventojus, transliaciją. </w:t>
            </w:r>
          </w:p>
          <w:p w:rsidR="004F0C50" w:rsidRDefault="00FC1ED1">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Kenkėjiškos programinės įrangos (angl. malware) inf</w:t>
            </w:r>
            <w:r>
              <w:rPr>
                <w:rFonts w:ascii="Arial" w:eastAsia="Arial" w:hAnsi="Arial" w:cs="Arial"/>
                <w:color w:val="000000"/>
                <w:sz w:val="20"/>
                <w:szCs w:val="20"/>
              </w:rPr>
              <w:t>ekcija</w:t>
            </w:r>
          </w:p>
          <w:p w:rsidR="004F0C50" w:rsidRDefault="00FC1ED1">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Kompiuterio kietojo disko gedimas, dėl kurio sutriko kompiuterio darbas, o duomenys diske tapo nebeprieinami.</w:t>
            </w:r>
          </w:p>
          <w:p w:rsidR="004F0C50" w:rsidRDefault="00FC1ED1">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Kompiuterio veikimo nestabilumas, atsiradęs nepavykus atnaujinti operacinės sistemos</w:t>
            </w:r>
          </w:p>
          <w:p w:rsidR="004F0C50" w:rsidRDefault="00FC1ED1">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Vartotojas nustatė netinkamus programos parametrus, dė</w:t>
            </w:r>
            <w:r>
              <w:rPr>
                <w:rFonts w:ascii="Arial" w:eastAsia="Arial" w:hAnsi="Arial" w:cs="Arial"/>
                <w:color w:val="000000"/>
                <w:sz w:val="20"/>
                <w:szCs w:val="20"/>
              </w:rPr>
              <w:t>l ko programos veikimas tapo nestabilus.</w:t>
            </w:r>
          </w:p>
          <w:p w:rsidR="004F0C50" w:rsidRDefault="004F0C50">
            <w:pPr>
              <w:rPr>
                <w:rFonts w:ascii="Arial" w:eastAsia="Arial" w:hAnsi="Arial" w:cs="Arial"/>
                <w:sz w:val="20"/>
                <w:szCs w:val="20"/>
              </w:rPr>
            </w:pP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lastRenderedPageBreak/>
              <w:t>Svarbių duomenų nutekėjimas.</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lastRenderedPageBreak/>
              <w:t>Kenkėjiškos programinės įrangos (angl. malware) infekcija</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lastRenderedPageBreak/>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lastRenderedPageBreak/>
              <w:t>21</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Koks ryšys tarp kibernetinės saugos ir duomenų saugos? Nurodykite du teisingus atsakymus</w:t>
            </w:r>
          </w:p>
          <w:p w:rsidR="004F0C50" w:rsidRDefault="00FC1ED1">
            <w:pPr>
              <w:numPr>
                <w:ilvl w:val="0"/>
                <w:numId w:val="1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Kibernetinė sauga apima tik fizinius saugumo aspektus, o duomenų sauga susijusi tik su duomenų šifravimu.</w:t>
            </w:r>
          </w:p>
          <w:p w:rsidR="004F0C50" w:rsidRDefault="00FC1ED1">
            <w:pPr>
              <w:numPr>
                <w:ilvl w:val="0"/>
                <w:numId w:val="1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Duomenų sauga yra kibernetinės saugos dalis, nes ji užtikrina, kad duomenys būtų saugūs ir apsaugoti nuo neautorizuoto prieigos.</w:t>
            </w:r>
          </w:p>
          <w:p w:rsidR="004F0C50" w:rsidRDefault="00FC1ED1">
            <w:pPr>
              <w:numPr>
                <w:ilvl w:val="0"/>
                <w:numId w:val="1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Kibernetinė sauga yra</w:t>
            </w:r>
            <w:r>
              <w:rPr>
                <w:rFonts w:ascii="Arial" w:eastAsia="Arial" w:hAnsi="Arial" w:cs="Arial"/>
                <w:color w:val="000000"/>
                <w:sz w:val="20"/>
                <w:szCs w:val="20"/>
              </w:rPr>
              <w:t xml:space="preserve"> atsakinga už tinklų apsaugą, o duomenų sauga neturi jokios įtakos kibernetiniams incidentams.</w:t>
            </w:r>
          </w:p>
          <w:p w:rsidR="004F0C50" w:rsidRDefault="00FC1ED1">
            <w:pPr>
              <w:numPr>
                <w:ilvl w:val="0"/>
                <w:numId w:val="1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Kibernetinė sauga ir duomenų sauga yra visiškai skirtingos sritys, kurios nesusijusios tarpusavyje.</w:t>
            </w:r>
          </w:p>
          <w:p w:rsidR="004F0C50" w:rsidRDefault="00FC1ED1">
            <w:pPr>
              <w:numPr>
                <w:ilvl w:val="0"/>
                <w:numId w:val="1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Kibernetinė sauga apima technologijas ir procesus, kurie pade</w:t>
            </w:r>
            <w:r>
              <w:rPr>
                <w:rFonts w:ascii="Arial" w:eastAsia="Arial" w:hAnsi="Arial" w:cs="Arial"/>
                <w:color w:val="000000"/>
                <w:sz w:val="20"/>
                <w:szCs w:val="20"/>
              </w:rPr>
              <w:t>da užtikrinti duomenų saugumą ir konfidencialumą organizacijoje.</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Duomenų sauga yra kibernetinės saugos dalis, nes ji užtikrina, kad duomenys būtų saugūs ir apsaugoti nuo neautorizuoto prieigos.</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Kibernetinė sauga apima technologijas ir procesus, kurie pade</w:t>
            </w:r>
            <w:r>
              <w:rPr>
                <w:rFonts w:ascii="Arial" w:eastAsia="Arial" w:hAnsi="Arial" w:cs="Arial"/>
                <w:sz w:val="20"/>
                <w:szCs w:val="20"/>
              </w:rPr>
              <w:t>da užtikrinti duomenų saugumą ir konfidencialumą organizacijoje.</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22</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 xml:space="preserve">Kuris iš pateiktų apibrėžimų apibūdiną </w:t>
            </w:r>
            <w:r>
              <w:rPr>
                <w:rFonts w:ascii="Arial" w:eastAsia="Arial" w:hAnsi="Arial" w:cs="Arial"/>
                <w:b/>
                <w:i/>
                <w:sz w:val="20"/>
                <w:szCs w:val="20"/>
              </w:rPr>
              <w:t>saugųjį valstybinį duomenų perdavimo tinklą</w:t>
            </w:r>
            <w:r>
              <w:rPr>
                <w:rFonts w:ascii="Arial" w:eastAsia="Arial" w:hAnsi="Arial" w:cs="Arial"/>
                <w:sz w:val="20"/>
                <w:szCs w:val="20"/>
              </w:rPr>
              <w:t xml:space="preserve">? </w:t>
            </w:r>
          </w:p>
          <w:p w:rsidR="004F0C50" w:rsidRDefault="00FC1ED1">
            <w:pPr>
              <w:numPr>
                <w:ilvl w:val="0"/>
                <w:numId w:val="1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Tai interneto platforma, kuri sudaro galimybes galutiniams naudotojams įvairiais įrenginiais prisijungti, dalytis turiniu, rasti vienam kitą ir skelbiamą turinį, visų pirma per pokalbius, įrašus, vaizdo įrašus ir rekomendacijas.</w:t>
            </w:r>
          </w:p>
          <w:p w:rsidR="004F0C50" w:rsidRDefault="00FC1ED1">
            <w:pPr>
              <w:numPr>
                <w:ilvl w:val="0"/>
                <w:numId w:val="1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Tai kompiuterių tinklas, į </w:t>
            </w:r>
            <w:r>
              <w:rPr>
                <w:rFonts w:ascii="Arial" w:eastAsia="Arial" w:hAnsi="Arial" w:cs="Arial"/>
                <w:color w:val="000000"/>
                <w:sz w:val="20"/>
                <w:szCs w:val="20"/>
              </w:rPr>
              <w:t>kurį sujungti visi Seimo ir ministerijų darbuotojų kompiuteriai.</w:t>
            </w:r>
          </w:p>
          <w:p w:rsidR="004F0C50" w:rsidRDefault="00FC1ED1">
            <w:pPr>
              <w:numPr>
                <w:ilvl w:val="0"/>
                <w:numId w:val="1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Tai valstybės valdomas specialiuosius organizacinius ir techninius reikalavimus atitinkantis ir nuo viešųjų elektroninių ryšių tinklų nepriklausomas elektroninių ryšių tinklas</w:t>
            </w:r>
          </w:p>
          <w:p w:rsidR="004F0C50" w:rsidRDefault="00FC1ED1">
            <w:pPr>
              <w:numPr>
                <w:ilvl w:val="0"/>
                <w:numId w:val="1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Tai tinklas, na</w:t>
            </w:r>
            <w:r>
              <w:rPr>
                <w:rFonts w:ascii="Arial" w:eastAsia="Arial" w:hAnsi="Arial" w:cs="Arial"/>
                <w:color w:val="000000"/>
                <w:sz w:val="20"/>
                <w:szCs w:val="20"/>
              </w:rPr>
              <w:t>udojamas duomenis perduoti tarp valstybinių ir savivaldybių institucijų.</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Tai valstybės valdomas specialiuosius organizacinius ir techninius reikalavimus atitinkantis ir nuo viešųjų elektroninių ryšių tinklų nepriklausomas elektroninių ryšių tinklas</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2</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lastRenderedPageBreak/>
              <w:t>23</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Kuris iš šių atvejų laikytinas rizika, galinčia pakenkti informacinės sistemos saugumui?</w:t>
            </w:r>
          </w:p>
          <w:p w:rsidR="004F0C50" w:rsidRDefault="00FC1ED1">
            <w:pPr>
              <w:numPr>
                <w:ilvl w:val="0"/>
                <w:numId w:val="19"/>
              </w:numPr>
              <w:rPr>
                <w:rFonts w:ascii="Arial" w:eastAsia="Arial" w:hAnsi="Arial" w:cs="Arial"/>
                <w:sz w:val="20"/>
                <w:szCs w:val="20"/>
              </w:rPr>
            </w:pPr>
            <w:r>
              <w:rPr>
                <w:rFonts w:ascii="Arial" w:eastAsia="Arial" w:hAnsi="Arial" w:cs="Arial"/>
                <w:sz w:val="20"/>
                <w:szCs w:val="20"/>
              </w:rPr>
              <w:t>Duomenų bazės apsauga naudojant šifravimą.</w:t>
            </w:r>
          </w:p>
          <w:p w:rsidR="004F0C50" w:rsidRDefault="00FC1ED1">
            <w:pPr>
              <w:numPr>
                <w:ilvl w:val="0"/>
                <w:numId w:val="19"/>
              </w:numPr>
              <w:rPr>
                <w:rFonts w:ascii="Arial" w:eastAsia="Arial" w:hAnsi="Arial" w:cs="Arial"/>
                <w:sz w:val="20"/>
                <w:szCs w:val="20"/>
              </w:rPr>
            </w:pPr>
            <w:r>
              <w:rPr>
                <w:rFonts w:ascii="Arial" w:eastAsia="Arial" w:hAnsi="Arial" w:cs="Arial"/>
                <w:sz w:val="20"/>
                <w:szCs w:val="20"/>
              </w:rPr>
              <w:t>Netikėti elektros tiekimo sutrikimai, galintys paveikti sistemos prieinamumą.</w:t>
            </w:r>
          </w:p>
          <w:p w:rsidR="004F0C50" w:rsidRDefault="00FC1ED1">
            <w:pPr>
              <w:numPr>
                <w:ilvl w:val="0"/>
                <w:numId w:val="19"/>
              </w:numPr>
              <w:rPr>
                <w:rFonts w:ascii="Arial" w:eastAsia="Arial" w:hAnsi="Arial" w:cs="Arial"/>
                <w:sz w:val="20"/>
                <w:szCs w:val="20"/>
              </w:rPr>
            </w:pPr>
            <w:r>
              <w:rPr>
                <w:rFonts w:ascii="Arial" w:eastAsia="Arial" w:hAnsi="Arial" w:cs="Arial"/>
                <w:sz w:val="20"/>
                <w:szCs w:val="20"/>
              </w:rPr>
              <w:t>Nuolatinis sistemos</w:t>
            </w:r>
            <w:r>
              <w:rPr>
                <w:rFonts w:ascii="Arial" w:eastAsia="Arial" w:hAnsi="Arial" w:cs="Arial"/>
                <w:sz w:val="20"/>
                <w:szCs w:val="20"/>
              </w:rPr>
              <w:t xml:space="preserve"> auditas saugumui užtikrinti.</w:t>
            </w:r>
          </w:p>
          <w:p w:rsidR="004F0C50" w:rsidRDefault="00FC1ED1">
            <w:pPr>
              <w:numPr>
                <w:ilvl w:val="0"/>
                <w:numId w:val="19"/>
              </w:numPr>
              <w:rPr>
                <w:rFonts w:ascii="Arial" w:eastAsia="Arial" w:hAnsi="Arial" w:cs="Arial"/>
                <w:sz w:val="20"/>
                <w:szCs w:val="20"/>
              </w:rPr>
            </w:pPr>
            <w:r>
              <w:rPr>
                <w:rFonts w:ascii="Arial" w:eastAsia="Arial" w:hAnsi="Arial" w:cs="Arial"/>
                <w:sz w:val="20"/>
                <w:szCs w:val="20"/>
              </w:rPr>
              <w:t>Prieigos prie duomenų ribojimas, laikantis BDAR reikalavimų.</w:t>
            </w:r>
          </w:p>
          <w:p w:rsidR="004F0C50" w:rsidRDefault="004F0C50">
            <w:pPr>
              <w:rPr>
                <w:rFonts w:ascii="Arial" w:eastAsia="Arial" w:hAnsi="Arial" w:cs="Arial"/>
                <w:sz w:val="20"/>
                <w:szCs w:val="20"/>
              </w:rPr>
            </w:pP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Netikėti elektros tiekimo sutrikimai, galintys paveikti sistemos prieinamumą.</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24</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 xml:space="preserve">Ryšių ir informacinės sistemos spraga – </w:t>
            </w:r>
          </w:p>
          <w:p w:rsidR="004F0C50" w:rsidRDefault="00FC1ED1">
            <w:pPr>
              <w:numPr>
                <w:ilvl w:val="0"/>
                <w:numId w:val="1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tai kenkėjiškos programos (angl. malware) atliktas ryšių ir informacinės sistemos pakeitimas. </w:t>
            </w:r>
          </w:p>
          <w:p w:rsidR="004F0C50" w:rsidRDefault="00FC1ED1">
            <w:pPr>
              <w:numPr>
                <w:ilvl w:val="0"/>
                <w:numId w:val="1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tai ryšių ir informacinės sistemos trūkumas, dėl kurio gali įvykti kibernetinis incidentas.</w:t>
            </w:r>
          </w:p>
          <w:p w:rsidR="004F0C50" w:rsidRDefault="00FC1ED1">
            <w:pPr>
              <w:numPr>
                <w:ilvl w:val="0"/>
                <w:numId w:val="1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tai ryšių ir informacinės sistemos darbo sutrikimas dėl interneto ryš</w:t>
            </w:r>
            <w:r>
              <w:rPr>
                <w:rFonts w:ascii="Arial" w:eastAsia="Arial" w:hAnsi="Arial" w:cs="Arial"/>
                <w:color w:val="000000"/>
                <w:sz w:val="20"/>
                <w:szCs w:val="20"/>
              </w:rPr>
              <w:t>io nutrūkimo.</w:t>
            </w:r>
          </w:p>
          <w:p w:rsidR="004F0C50" w:rsidRDefault="00FC1ED1">
            <w:pPr>
              <w:numPr>
                <w:ilvl w:val="0"/>
                <w:numId w:val="1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Tai laikinas ryšių ir informacinės sistemos sutrikimas, kuris nekelia grėsmės duomenų saugumui.</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ryšių ir informacinės sistemos trūkumas, dėl kurio gali įvykti kibernetinis incidentas</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25</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Kuris iš pateiktų atsakymų variantų apibūdina kibernetinių incidentų valdymo procesą?</w:t>
            </w:r>
          </w:p>
          <w:p w:rsidR="004F0C50" w:rsidRDefault="00FC1ED1">
            <w:pPr>
              <w:numPr>
                <w:ilvl w:val="0"/>
                <w:numId w:val="20"/>
              </w:numPr>
              <w:ind w:left="714" w:hanging="357"/>
              <w:rPr>
                <w:rFonts w:ascii="Arial" w:eastAsia="Arial" w:hAnsi="Arial" w:cs="Arial"/>
                <w:sz w:val="20"/>
                <w:szCs w:val="20"/>
              </w:rPr>
            </w:pPr>
            <w:r>
              <w:rPr>
                <w:rFonts w:ascii="Arial" w:eastAsia="Arial" w:hAnsi="Arial" w:cs="Arial"/>
                <w:sz w:val="20"/>
                <w:szCs w:val="20"/>
              </w:rPr>
              <w:t>Incidento tyrimas ir su juo susijusių duomenų kaupimas</w:t>
            </w:r>
          </w:p>
          <w:p w:rsidR="004F0C50" w:rsidRDefault="00FC1ED1">
            <w:pPr>
              <w:numPr>
                <w:ilvl w:val="0"/>
                <w:numId w:val="20"/>
              </w:numPr>
              <w:rPr>
                <w:rFonts w:ascii="Arial" w:eastAsia="Arial" w:hAnsi="Arial" w:cs="Arial"/>
                <w:sz w:val="20"/>
                <w:szCs w:val="20"/>
              </w:rPr>
            </w:pPr>
            <w:r>
              <w:rPr>
                <w:rFonts w:ascii="Arial" w:eastAsia="Arial" w:hAnsi="Arial" w:cs="Arial"/>
                <w:sz w:val="20"/>
                <w:szCs w:val="20"/>
              </w:rPr>
              <w:t>Incidentų aptikimas, analizė, reagavimas ir sistemos veiklos atkūrimas.</w:t>
            </w:r>
          </w:p>
          <w:p w:rsidR="004F0C50" w:rsidRDefault="00FC1ED1">
            <w:pPr>
              <w:numPr>
                <w:ilvl w:val="0"/>
                <w:numId w:val="20"/>
              </w:numPr>
              <w:rPr>
                <w:rFonts w:ascii="Arial" w:eastAsia="Arial" w:hAnsi="Arial" w:cs="Arial"/>
                <w:sz w:val="20"/>
                <w:szCs w:val="20"/>
              </w:rPr>
            </w:pPr>
            <w:r>
              <w:rPr>
                <w:rFonts w:ascii="Arial" w:eastAsia="Arial" w:hAnsi="Arial" w:cs="Arial"/>
                <w:sz w:val="20"/>
                <w:szCs w:val="20"/>
              </w:rPr>
              <w:t>Svarbiausių tinklo veikimo parametrų stebėj</w:t>
            </w:r>
            <w:r>
              <w:rPr>
                <w:rFonts w:ascii="Arial" w:eastAsia="Arial" w:hAnsi="Arial" w:cs="Arial"/>
                <w:sz w:val="20"/>
                <w:szCs w:val="20"/>
              </w:rPr>
              <w:t>imas ir informacijos apie tai kaupimas.</w:t>
            </w:r>
          </w:p>
          <w:p w:rsidR="004F0C50" w:rsidRDefault="00FC1ED1">
            <w:pPr>
              <w:numPr>
                <w:ilvl w:val="0"/>
                <w:numId w:val="20"/>
              </w:numPr>
              <w:rPr>
                <w:rFonts w:ascii="Arial" w:eastAsia="Arial" w:hAnsi="Arial" w:cs="Arial"/>
                <w:sz w:val="20"/>
                <w:szCs w:val="20"/>
              </w:rPr>
            </w:pPr>
            <w:r>
              <w:rPr>
                <w:rFonts w:ascii="Arial" w:eastAsia="Arial" w:hAnsi="Arial" w:cs="Arial"/>
                <w:sz w:val="20"/>
                <w:szCs w:val="20"/>
              </w:rPr>
              <w:t>Informacinės sistemos apsaugos priemonių ir incidentų įrašų saugojimas</w:t>
            </w: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Incidentų aptikimas, analizė, reagavimas ir sistemos veiklos atkūrimas</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r w:rsidR="004F0C50">
        <w:tc>
          <w:tcPr>
            <w:tcW w:w="540" w:type="dxa"/>
          </w:tcPr>
          <w:p w:rsidR="004F0C50" w:rsidRDefault="00FC1ED1">
            <w:pPr>
              <w:jc w:val="center"/>
              <w:rPr>
                <w:rFonts w:ascii="Arial" w:eastAsia="Arial" w:hAnsi="Arial" w:cs="Arial"/>
                <w:sz w:val="20"/>
                <w:szCs w:val="20"/>
              </w:rPr>
            </w:pPr>
            <w:r>
              <w:rPr>
                <w:rFonts w:ascii="Arial" w:eastAsia="Arial" w:hAnsi="Arial" w:cs="Arial"/>
                <w:sz w:val="20"/>
                <w:szCs w:val="20"/>
              </w:rPr>
              <w:t>26</w:t>
            </w:r>
          </w:p>
        </w:tc>
        <w:tc>
          <w:tcPr>
            <w:tcW w:w="6825" w:type="dxa"/>
          </w:tcPr>
          <w:p w:rsidR="004F0C50" w:rsidRDefault="00FC1ED1">
            <w:pPr>
              <w:rPr>
                <w:rFonts w:ascii="Arial" w:eastAsia="Arial" w:hAnsi="Arial" w:cs="Arial"/>
                <w:sz w:val="20"/>
                <w:szCs w:val="20"/>
              </w:rPr>
            </w:pPr>
            <w:r>
              <w:rPr>
                <w:rFonts w:ascii="Arial" w:eastAsia="Arial" w:hAnsi="Arial" w:cs="Arial"/>
                <w:sz w:val="20"/>
                <w:szCs w:val="20"/>
              </w:rPr>
              <w:t>Kurie iš išvardintų failų formatų vartojami</w:t>
            </w:r>
            <w:r>
              <w:rPr>
                <w:rFonts w:ascii="Arial" w:eastAsia="Arial" w:hAnsi="Arial" w:cs="Arial"/>
                <w:sz w:val="20"/>
                <w:szCs w:val="20"/>
              </w:rPr>
              <w:t xml:space="preserve"> viešiesiems ir privatiesiems raktams, naudojamiems duomenų užšifravimui ir iššifravimui, įrašyti?</w:t>
            </w:r>
          </w:p>
          <w:p w:rsidR="004F0C50" w:rsidRDefault="00FC1ED1">
            <w:pPr>
              <w:numPr>
                <w:ilvl w:val="0"/>
                <w:numId w:val="2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.docx, .xlsx, .odt</w:t>
            </w:r>
          </w:p>
          <w:p w:rsidR="004F0C50" w:rsidRDefault="00FC1ED1">
            <w:pPr>
              <w:numPr>
                <w:ilvl w:val="0"/>
                <w:numId w:val="2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.pem, .key, .crt, .txt</w:t>
            </w:r>
          </w:p>
          <w:p w:rsidR="004F0C50" w:rsidRDefault="00FC1ED1">
            <w:pPr>
              <w:numPr>
                <w:ilvl w:val="0"/>
                <w:numId w:val="2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.bmp, .gif, .png</w:t>
            </w:r>
          </w:p>
          <w:p w:rsidR="004F0C50" w:rsidRDefault="00FC1ED1">
            <w:pPr>
              <w:numPr>
                <w:ilvl w:val="0"/>
                <w:numId w:val="2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.mp4, .mov, .mp3</w:t>
            </w:r>
          </w:p>
          <w:p w:rsidR="004F0C50" w:rsidRDefault="004F0C50">
            <w:pPr>
              <w:rPr>
                <w:rFonts w:ascii="Arial" w:eastAsia="Arial" w:hAnsi="Arial" w:cs="Arial"/>
                <w:sz w:val="20"/>
                <w:szCs w:val="20"/>
              </w:rPr>
            </w:pPr>
          </w:p>
        </w:tc>
        <w:tc>
          <w:tcPr>
            <w:tcW w:w="2835" w:type="dxa"/>
            <w:vAlign w:val="center"/>
          </w:tcPr>
          <w:p w:rsidR="004F0C50" w:rsidRDefault="00FC1ED1">
            <w:pPr>
              <w:rPr>
                <w:rFonts w:ascii="Arial" w:eastAsia="Arial" w:hAnsi="Arial" w:cs="Arial"/>
                <w:sz w:val="20"/>
                <w:szCs w:val="20"/>
              </w:rPr>
            </w:pPr>
            <w:r>
              <w:rPr>
                <w:rFonts w:ascii="Arial" w:eastAsia="Arial" w:hAnsi="Arial" w:cs="Arial"/>
                <w:sz w:val="20"/>
                <w:szCs w:val="20"/>
              </w:rPr>
              <w:t>.pem, .key, .crt, .txt</w:t>
            </w:r>
          </w:p>
        </w:tc>
        <w:tc>
          <w:tcPr>
            <w:tcW w:w="1275"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110" w:type="dxa"/>
          </w:tcPr>
          <w:p w:rsidR="004F0C50" w:rsidRDefault="00FC1ED1">
            <w:pPr>
              <w:rPr>
                <w:rFonts w:ascii="Arial" w:eastAsia="Arial" w:hAnsi="Arial" w:cs="Arial"/>
                <w:sz w:val="20"/>
                <w:szCs w:val="20"/>
              </w:rPr>
            </w:pPr>
            <w:r>
              <w:rPr>
                <w:rFonts w:ascii="Arial" w:eastAsia="Arial" w:hAnsi="Arial" w:cs="Arial"/>
                <w:sz w:val="20"/>
                <w:szCs w:val="20"/>
              </w:rPr>
              <w:t>1</w:t>
            </w:r>
          </w:p>
        </w:tc>
        <w:tc>
          <w:tcPr>
            <w:tcW w:w="1575" w:type="dxa"/>
          </w:tcPr>
          <w:p w:rsidR="004F0C50" w:rsidRDefault="00FC1ED1">
            <w:pPr>
              <w:rPr>
                <w:rFonts w:ascii="Arial" w:eastAsia="Arial" w:hAnsi="Arial" w:cs="Arial"/>
                <w:sz w:val="20"/>
                <w:szCs w:val="20"/>
              </w:rPr>
            </w:pPr>
            <w:r>
              <w:rPr>
                <w:rFonts w:ascii="Arial" w:eastAsia="Arial" w:hAnsi="Arial" w:cs="Arial"/>
                <w:sz w:val="20"/>
                <w:szCs w:val="20"/>
              </w:rPr>
              <w:t>Pilietiškumo, Pažinimo</w:t>
            </w:r>
          </w:p>
        </w:tc>
      </w:tr>
    </w:tbl>
    <w:p w:rsidR="004F0C50" w:rsidRDefault="004F0C50">
      <w:pPr>
        <w:rPr>
          <w:rFonts w:ascii="Arial" w:eastAsia="Arial" w:hAnsi="Arial" w:cs="Arial"/>
          <w:sz w:val="20"/>
          <w:szCs w:val="20"/>
        </w:rPr>
      </w:pPr>
    </w:p>
    <w:p w:rsidR="004F0C50" w:rsidRDefault="004F0C50">
      <w:pPr>
        <w:rPr>
          <w:rFonts w:ascii="Arial" w:eastAsia="Arial" w:hAnsi="Arial" w:cs="Arial"/>
          <w:sz w:val="20"/>
          <w:szCs w:val="20"/>
        </w:rPr>
      </w:pP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Panaudoti šaltiniai:</w:t>
      </w:r>
    </w:p>
    <w:p w:rsidR="004F0C50" w:rsidRDefault="00FC1ED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Europos Parlamento ir Tarybos Bendrasis duomenų apsaugos reglamentas: </w:t>
      </w:r>
      <w:r>
        <w:rPr>
          <w:rFonts w:ascii="Arial" w:eastAsia="Arial" w:hAnsi="Arial" w:cs="Arial"/>
          <w:color w:val="000000"/>
          <w:sz w:val="20"/>
          <w:szCs w:val="20"/>
        </w:rPr>
        <w:br/>
        <w:t>https://eur-lex.europa.eu/legal-content/LT/TXT/PDF/?uri=CELEX:32016R0679</w:t>
      </w:r>
    </w:p>
    <w:p w:rsidR="004F0C50" w:rsidRDefault="00FC1ED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Lietuvos Respublikos Asmens duomenų teisinės apsaugos įstatymas: </w:t>
      </w:r>
      <w:r>
        <w:rPr>
          <w:rFonts w:ascii="Arial" w:eastAsia="Arial" w:hAnsi="Arial" w:cs="Arial"/>
          <w:color w:val="000000"/>
          <w:sz w:val="20"/>
          <w:szCs w:val="20"/>
        </w:rPr>
        <w:br/>
        <w:t>https://e-seimas.lrs.lt/portal/legalAct/lt/TAD</w:t>
      </w:r>
      <w:r>
        <w:rPr>
          <w:rFonts w:ascii="Arial" w:eastAsia="Arial" w:hAnsi="Arial" w:cs="Arial"/>
          <w:color w:val="000000"/>
          <w:sz w:val="20"/>
          <w:szCs w:val="20"/>
        </w:rPr>
        <w:t>/TAIS.29193/asr</w:t>
      </w:r>
    </w:p>
    <w:p w:rsidR="004F0C50" w:rsidRDefault="00FC1ED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Lietuvos Respublikos Kibernetinio saugumo įstatymas: </w:t>
      </w:r>
      <w:r>
        <w:rPr>
          <w:rFonts w:ascii="Arial" w:eastAsia="Arial" w:hAnsi="Arial" w:cs="Arial"/>
          <w:color w:val="000000"/>
          <w:sz w:val="20"/>
          <w:szCs w:val="20"/>
        </w:rPr>
        <w:br/>
      </w:r>
      <w:hyperlink r:id="rId6">
        <w:r>
          <w:rPr>
            <w:rFonts w:ascii="Arial" w:eastAsia="Arial" w:hAnsi="Arial" w:cs="Arial"/>
            <w:color w:val="467886"/>
            <w:sz w:val="20"/>
            <w:szCs w:val="20"/>
            <w:u w:val="single"/>
          </w:rPr>
          <w:t>https://e-seimas.lrs.lt/portal/legalAct/lt/TAD/f6958c2085dd11e495dc9901227533ee/asr</w:t>
        </w:r>
      </w:hyperlink>
    </w:p>
    <w:p w:rsidR="004F0C50" w:rsidRDefault="004F0C50">
      <w:pPr>
        <w:rPr>
          <w:rFonts w:ascii="Arial" w:eastAsia="Arial" w:hAnsi="Arial" w:cs="Arial"/>
          <w:sz w:val="20"/>
          <w:szCs w:val="20"/>
        </w:rPr>
      </w:pPr>
    </w:p>
    <w:p w:rsidR="004F0C50" w:rsidRDefault="004F0C50">
      <w:pPr>
        <w:jc w:val="center"/>
        <w:rPr>
          <w:rFonts w:ascii="Arial" w:eastAsia="Arial" w:hAnsi="Arial" w:cs="Arial"/>
          <w:b/>
          <w:sz w:val="28"/>
          <w:szCs w:val="28"/>
        </w:rPr>
      </w:pPr>
    </w:p>
    <w:p w:rsidR="004F0C50" w:rsidRDefault="00FC1ED1">
      <w:pPr>
        <w:jc w:val="center"/>
        <w:rPr>
          <w:rFonts w:ascii="Arial" w:eastAsia="Arial" w:hAnsi="Arial" w:cs="Arial"/>
          <w:b/>
          <w:sz w:val="28"/>
          <w:szCs w:val="28"/>
        </w:rPr>
      </w:pPr>
      <w:r>
        <w:rPr>
          <w:rFonts w:ascii="Arial" w:eastAsia="Arial" w:hAnsi="Arial" w:cs="Arial"/>
          <w:b/>
          <w:sz w:val="28"/>
          <w:szCs w:val="28"/>
        </w:rPr>
        <w:t>Pastabos dėl „Kibernetinio saugumo įstatymo“ įstatymo</w:t>
      </w:r>
    </w:p>
    <w:p w:rsidR="004F0C50" w:rsidRDefault="004F0C50">
      <w:pPr>
        <w:rPr>
          <w:rFonts w:ascii="Arial" w:eastAsia="Arial" w:hAnsi="Arial" w:cs="Arial"/>
          <w:sz w:val="20"/>
          <w:szCs w:val="20"/>
        </w:rPr>
      </w:pPr>
    </w:p>
    <w:p w:rsidR="004F0C50" w:rsidRDefault="00FC1ED1">
      <w:pPr>
        <w:rPr>
          <w:rFonts w:ascii="Arial" w:eastAsia="Arial" w:hAnsi="Arial" w:cs="Arial"/>
          <w:sz w:val="20"/>
          <w:szCs w:val="20"/>
        </w:rPr>
      </w:pPr>
      <w:r>
        <w:rPr>
          <w:rFonts w:ascii="Arial" w:eastAsia="Arial" w:hAnsi="Arial" w:cs="Arial"/>
          <w:sz w:val="20"/>
          <w:szCs w:val="20"/>
        </w:rPr>
        <w:t>2023–2024 metais įstatymas buvo keistas 3 kartus ir naujausioje jo redakcijoje nebeliko ankstesnėse redakcijose buvusių kai kurių apibrėžimų, kai kurie apibrėžimai perimti iš ES direktyvų. Tad čia p</w:t>
      </w:r>
      <w:r>
        <w:rPr>
          <w:rFonts w:ascii="Arial" w:eastAsia="Arial" w:hAnsi="Arial" w:cs="Arial"/>
          <w:sz w:val="20"/>
          <w:szCs w:val="20"/>
        </w:rPr>
        <w:t>ateikiame mokytojams visus, kad nereikėtų ieškoti. Įstatymo keitimai nekeičia pačių sąvokų apibrėžčių esmės (kartais kai kurios gali būti patikslinamos, bet esmė nesikeičia). Nepriklausomai nuo to, yra tos sąvokos apibrėžtos įstatyme, ar nera, bet jas gali</w:t>
      </w:r>
      <w:r>
        <w:rPr>
          <w:rFonts w:ascii="Arial" w:eastAsia="Arial" w:hAnsi="Arial" w:cs="Arial"/>
          <w:sz w:val="20"/>
          <w:szCs w:val="20"/>
        </w:rPr>
        <w:t xml:space="preserve">ma apibrėžti taip, kaip buvo 2021 m. įstatymo redakcijoje. </w:t>
      </w:r>
    </w:p>
    <w:p w:rsidR="004F0C50" w:rsidRDefault="004F0C50">
      <w:pPr>
        <w:rPr>
          <w:rFonts w:ascii="Arial" w:eastAsia="Arial" w:hAnsi="Arial" w:cs="Arial"/>
          <w:sz w:val="20"/>
          <w:szCs w:val="20"/>
        </w:rPr>
      </w:pPr>
    </w:p>
    <w:p w:rsidR="004F0C50" w:rsidRDefault="004F0C50">
      <w:pPr>
        <w:spacing w:before="240" w:after="240" w:line="360" w:lineRule="auto"/>
        <w:ind w:firstLine="20"/>
        <w:jc w:val="both"/>
        <w:rPr>
          <w:rFonts w:ascii="Arial" w:eastAsia="Arial" w:hAnsi="Arial" w:cs="Arial"/>
          <w:b/>
          <w:sz w:val="20"/>
          <w:szCs w:val="20"/>
        </w:rPr>
      </w:pPr>
    </w:p>
    <w:p w:rsidR="004F0C50" w:rsidRDefault="00FC1ED1">
      <w:pPr>
        <w:spacing w:before="240" w:after="240" w:line="360" w:lineRule="auto"/>
        <w:ind w:firstLine="20"/>
        <w:jc w:val="center"/>
        <w:rPr>
          <w:rFonts w:ascii="Arial" w:eastAsia="Arial" w:hAnsi="Arial" w:cs="Arial"/>
          <w:b/>
          <w:sz w:val="28"/>
          <w:szCs w:val="28"/>
        </w:rPr>
      </w:pPr>
      <w:r>
        <w:rPr>
          <w:rFonts w:ascii="Arial" w:eastAsia="Arial" w:hAnsi="Arial" w:cs="Arial"/>
          <w:b/>
          <w:sz w:val="28"/>
          <w:szCs w:val="28"/>
        </w:rPr>
        <w:t xml:space="preserve">Informatikos Bendrojoje programoje minimos su kibernetinio saugumo tema susijusios sąvokos </w:t>
      </w:r>
      <w:r>
        <w:rPr>
          <w:rFonts w:ascii="Arial" w:eastAsia="Arial" w:hAnsi="Arial" w:cs="Arial"/>
          <w:b/>
          <w:sz w:val="28"/>
          <w:szCs w:val="28"/>
        </w:rPr>
        <w:br/>
        <w:t>(</w:t>
      </w:r>
      <w:r>
        <w:rPr>
          <w:rFonts w:ascii="Arial" w:eastAsia="Arial" w:hAnsi="Arial" w:cs="Arial"/>
          <w:b/>
          <w:color w:val="999999"/>
          <w:sz w:val="28"/>
          <w:szCs w:val="28"/>
        </w:rPr>
        <w:t>pilka spalva</w:t>
      </w:r>
      <w:r>
        <w:rPr>
          <w:rFonts w:ascii="Arial" w:eastAsia="Arial" w:hAnsi="Arial" w:cs="Arial"/>
          <w:b/>
          <w:sz w:val="28"/>
          <w:szCs w:val="28"/>
        </w:rPr>
        <w:t xml:space="preserve"> – tos, kurių nebėra 2024-07-11 įstatymo redakcijoje)</w:t>
      </w:r>
    </w:p>
    <w:p w:rsidR="004F0C50" w:rsidRDefault="00FC1ED1">
      <w:pPr>
        <w:spacing w:before="240" w:after="240" w:line="360" w:lineRule="auto"/>
        <w:ind w:firstLine="20"/>
        <w:jc w:val="both"/>
        <w:rPr>
          <w:rFonts w:ascii="Arial" w:eastAsia="Arial" w:hAnsi="Arial" w:cs="Arial"/>
          <w:sz w:val="20"/>
          <w:szCs w:val="20"/>
        </w:rPr>
      </w:pPr>
      <w:r>
        <w:rPr>
          <w:rFonts w:ascii="Arial" w:eastAsia="Arial" w:hAnsi="Arial" w:cs="Arial"/>
          <w:b/>
          <w:sz w:val="20"/>
          <w:szCs w:val="20"/>
        </w:rPr>
        <w:t>Elektroninės informacijos prieglobo</w:t>
      </w:r>
      <w:r>
        <w:rPr>
          <w:rFonts w:ascii="Arial" w:eastAsia="Arial" w:hAnsi="Arial" w:cs="Arial"/>
          <w:b/>
          <w:sz w:val="20"/>
          <w:szCs w:val="20"/>
        </w:rPr>
        <w:t xml:space="preserve">s paslaugos </w:t>
      </w:r>
      <w:r>
        <w:rPr>
          <w:rFonts w:ascii="Arial" w:eastAsia="Arial" w:hAnsi="Arial" w:cs="Arial"/>
          <w:sz w:val="20"/>
          <w:szCs w:val="20"/>
        </w:rPr>
        <w:t xml:space="preserve">– paslaugos, apimančios galimybės naudotis elektroninės informacijos </w:t>
      </w:r>
      <w:r>
        <w:rPr>
          <w:rFonts w:ascii="Arial" w:eastAsia="Arial" w:hAnsi="Arial" w:cs="Arial"/>
          <w:sz w:val="20"/>
          <w:szCs w:val="20"/>
          <w:highlight w:val="white"/>
        </w:rPr>
        <w:t xml:space="preserve">ir elektroninių duomenų (toliau – elektroninė informacija) </w:t>
      </w:r>
      <w:r>
        <w:rPr>
          <w:rFonts w:ascii="Arial" w:eastAsia="Arial" w:hAnsi="Arial" w:cs="Arial"/>
          <w:sz w:val="20"/>
          <w:szCs w:val="20"/>
        </w:rPr>
        <w:t>kūrimo ir tvarkymo priemonėmis sudarymą ir (arba) paslaugų gavėjo pateiktos elektroninės informacijos laikymą.</w:t>
      </w:r>
    </w:p>
    <w:p w:rsidR="004F0C50" w:rsidRDefault="00FC1ED1">
      <w:pPr>
        <w:spacing w:before="240" w:after="240" w:line="360" w:lineRule="auto"/>
        <w:ind w:firstLine="20"/>
        <w:jc w:val="both"/>
        <w:rPr>
          <w:rFonts w:ascii="Arial" w:eastAsia="Arial" w:hAnsi="Arial" w:cs="Arial"/>
          <w:color w:val="999999"/>
          <w:sz w:val="20"/>
          <w:szCs w:val="20"/>
          <w:highlight w:val="white"/>
        </w:rPr>
      </w:pPr>
      <w:r>
        <w:rPr>
          <w:rFonts w:ascii="Arial" w:eastAsia="Arial" w:hAnsi="Arial" w:cs="Arial"/>
          <w:b/>
          <w:color w:val="999999"/>
          <w:sz w:val="20"/>
          <w:szCs w:val="20"/>
        </w:rPr>
        <w:t>Ypati</w:t>
      </w:r>
      <w:r>
        <w:rPr>
          <w:rFonts w:ascii="Arial" w:eastAsia="Arial" w:hAnsi="Arial" w:cs="Arial"/>
          <w:b/>
          <w:color w:val="999999"/>
          <w:sz w:val="20"/>
          <w:szCs w:val="20"/>
        </w:rPr>
        <w:t>ngos svarbos informacinė infrastruktūra</w:t>
      </w:r>
      <w:r>
        <w:rPr>
          <w:rFonts w:ascii="Arial" w:eastAsia="Arial" w:hAnsi="Arial" w:cs="Arial"/>
          <w:color w:val="999999"/>
          <w:sz w:val="20"/>
          <w:szCs w:val="20"/>
        </w:rPr>
        <w:t xml:space="preserve"> </w:t>
      </w:r>
      <w:r>
        <w:rPr>
          <w:rFonts w:ascii="Arial" w:eastAsia="Arial" w:hAnsi="Arial" w:cs="Arial"/>
          <w:color w:val="999999"/>
          <w:sz w:val="20"/>
          <w:szCs w:val="20"/>
          <w:highlight w:val="white"/>
        </w:rPr>
        <w:t>– ryšių ir informacinė sistema ar jos dalis, ryšių ir informacinių sistemų grupė, kurioje įvykęs kibernetinis incidentas gali padaryti didelį neigiamą poveikį nacionaliniam saugumui, valstybės ūkiui, valstybės ir visuomenės interesams.</w:t>
      </w:r>
    </w:p>
    <w:p w:rsidR="004F0C50" w:rsidRDefault="00FC1ED1">
      <w:pPr>
        <w:spacing w:before="240" w:after="240" w:line="360" w:lineRule="auto"/>
        <w:ind w:firstLine="20"/>
        <w:jc w:val="both"/>
        <w:rPr>
          <w:rFonts w:ascii="Arial" w:eastAsia="Arial" w:hAnsi="Arial" w:cs="Arial"/>
          <w:sz w:val="20"/>
          <w:szCs w:val="20"/>
        </w:rPr>
      </w:pPr>
      <w:r>
        <w:rPr>
          <w:rFonts w:ascii="Arial" w:eastAsia="Arial" w:hAnsi="Arial" w:cs="Arial"/>
          <w:b/>
          <w:sz w:val="20"/>
          <w:szCs w:val="20"/>
        </w:rPr>
        <w:t>Kibernetinė erdvė</w:t>
      </w:r>
      <w:r>
        <w:rPr>
          <w:rFonts w:ascii="Arial" w:eastAsia="Arial" w:hAnsi="Arial" w:cs="Arial"/>
          <w:sz w:val="20"/>
          <w:szCs w:val="20"/>
        </w:rPr>
        <w:t xml:space="preserve"> – </w:t>
      </w:r>
      <w:r>
        <w:rPr>
          <w:rFonts w:ascii="Arial" w:eastAsia="Arial" w:hAnsi="Arial" w:cs="Arial"/>
          <w:sz w:val="20"/>
          <w:szCs w:val="20"/>
        </w:rPr>
        <w:t>aplinka, kurią sudaro kompiuteriai ir kita ryšių ir informacinių technologijų įranga ir juose sukuriama ir (arba) jais perduodama elektroninė informacija.</w:t>
      </w:r>
    </w:p>
    <w:p w:rsidR="004F0C50" w:rsidRDefault="00FC1ED1">
      <w:pPr>
        <w:spacing w:before="240" w:after="240" w:line="360" w:lineRule="auto"/>
        <w:ind w:firstLine="20"/>
        <w:jc w:val="both"/>
        <w:rPr>
          <w:rFonts w:ascii="Arial" w:eastAsia="Arial" w:hAnsi="Arial" w:cs="Arial"/>
          <w:color w:val="999999"/>
          <w:sz w:val="20"/>
          <w:szCs w:val="20"/>
        </w:rPr>
      </w:pPr>
      <w:r>
        <w:rPr>
          <w:rFonts w:ascii="Arial" w:eastAsia="Arial" w:hAnsi="Arial" w:cs="Arial"/>
          <w:b/>
          <w:color w:val="999999"/>
          <w:sz w:val="20"/>
          <w:szCs w:val="20"/>
        </w:rPr>
        <w:t>Kibernetinio saugumo krizė</w:t>
      </w:r>
      <w:r>
        <w:rPr>
          <w:rFonts w:ascii="Arial" w:eastAsia="Arial" w:hAnsi="Arial" w:cs="Arial"/>
          <w:color w:val="999999"/>
          <w:sz w:val="20"/>
          <w:szCs w:val="20"/>
        </w:rPr>
        <w:t xml:space="preserve"> – kibernetinis incidentas arba incidentai, kurių sukelto neigiamo poveikio</w:t>
      </w:r>
      <w:r>
        <w:rPr>
          <w:rFonts w:ascii="Arial" w:eastAsia="Arial" w:hAnsi="Arial" w:cs="Arial"/>
          <w:color w:val="999999"/>
          <w:sz w:val="20"/>
          <w:szCs w:val="20"/>
        </w:rPr>
        <w:t xml:space="preserve"> Lietuvos Respublika negali pašalinti viena pati arba kurie Lietuvos Respublikai ir kitoms valstybėms, priklausančioms tarptautinėms organizacijoms, kurių narė yra Lietuvos Respublika, arba tų tarptautinių organizacijų institucijoms sukelia tokio masto ir </w:t>
      </w:r>
      <w:r>
        <w:rPr>
          <w:rFonts w:ascii="Arial" w:eastAsia="Arial" w:hAnsi="Arial" w:cs="Arial"/>
          <w:color w:val="999999"/>
          <w:sz w:val="20"/>
          <w:szCs w:val="20"/>
        </w:rPr>
        <w:t>tokios techninės arba politinės reikšmės neigiamą poveikį, kad iškyla poreikis koordinuoti politiką ir reaguoti tarptautiniu lygmeniu.</w:t>
      </w:r>
    </w:p>
    <w:p w:rsidR="004F0C50" w:rsidRDefault="00FC1ED1">
      <w:pPr>
        <w:spacing w:before="240" w:after="240" w:line="360" w:lineRule="auto"/>
        <w:ind w:firstLine="20"/>
        <w:jc w:val="both"/>
        <w:rPr>
          <w:rFonts w:ascii="Arial" w:eastAsia="Arial" w:hAnsi="Arial" w:cs="Arial"/>
          <w:sz w:val="20"/>
          <w:szCs w:val="20"/>
        </w:rPr>
      </w:pPr>
      <w:r>
        <w:rPr>
          <w:rFonts w:ascii="Arial" w:eastAsia="Arial" w:hAnsi="Arial" w:cs="Arial"/>
          <w:b/>
          <w:sz w:val="20"/>
          <w:szCs w:val="20"/>
        </w:rPr>
        <w:lastRenderedPageBreak/>
        <w:t>Kibernetinis incidentas</w:t>
      </w:r>
      <w:r>
        <w:rPr>
          <w:rFonts w:ascii="Arial" w:eastAsia="Arial" w:hAnsi="Arial" w:cs="Arial"/>
          <w:sz w:val="20"/>
          <w:szCs w:val="20"/>
        </w:rPr>
        <w:t xml:space="preserve"> – įvykis ar veika kibernetinėje erdvėje, galintys sukelti arba sukeliantys grėsmę arba neigiamą p</w:t>
      </w:r>
      <w:r>
        <w:rPr>
          <w:rFonts w:ascii="Arial" w:eastAsia="Arial" w:hAnsi="Arial" w:cs="Arial"/>
          <w:sz w:val="20"/>
          <w:szCs w:val="20"/>
        </w:rPr>
        <w:t>oveikį ryšių ir informacinėmis sistemomis perduodamos ar jose tvarkomos elektroninės informacijos prieinamumui, autentiškumui, vientisumui ir konfidencialumui, galintys trikdyti arba trikdantys ryšių ir informacinių sistemų veikimą, valdymą ir paslaugų jom</w:t>
      </w:r>
      <w:r>
        <w:rPr>
          <w:rFonts w:ascii="Arial" w:eastAsia="Arial" w:hAnsi="Arial" w:cs="Arial"/>
          <w:sz w:val="20"/>
          <w:szCs w:val="20"/>
        </w:rPr>
        <w:t>is teikimą.</w:t>
      </w:r>
    </w:p>
    <w:p w:rsidR="004F0C50" w:rsidRDefault="00FC1ED1">
      <w:pPr>
        <w:spacing w:before="240" w:after="240" w:line="360" w:lineRule="auto"/>
        <w:ind w:firstLine="20"/>
        <w:jc w:val="both"/>
        <w:rPr>
          <w:rFonts w:ascii="Arial" w:eastAsia="Arial" w:hAnsi="Arial" w:cs="Arial"/>
          <w:sz w:val="20"/>
          <w:szCs w:val="20"/>
        </w:rPr>
      </w:pPr>
      <w:r>
        <w:rPr>
          <w:rFonts w:ascii="Arial" w:eastAsia="Arial" w:hAnsi="Arial" w:cs="Arial"/>
          <w:b/>
          <w:sz w:val="20"/>
          <w:szCs w:val="20"/>
        </w:rPr>
        <w:t>Kibernetinis saugumas [iš Reglamento</w:t>
      </w:r>
      <w:hyperlink r:id="rId7">
        <w:r>
          <w:rPr>
            <w:rFonts w:ascii="Arial" w:eastAsia="Arial" w:hAnsi="Arial" w:cs="Arial"/>
            <w:b/>
            <w:sz w:val="20"/>
            <w:szCs w:val="20"/>
          </w:rPr>
          <w:t xml:space="preserve"> </w:t>
        </w:r>
      </w:hyperlink>
      <w:hyperlink r:id="rId8">
        <w:r>
          <w:rPr>
            <w:rFonts w:ascii="Arial" w:eastAsia="Arial" w:hAnsi="Arial" w:cs="Arial"/>
            <w:b/>
            <w:color w:val="467886"/>
            <w:sz w:val="20"/>
            <w:szCs w:val="20"/>
            <w:u w:val="single"/>
          </w:rPr>
          <w:t>(ES) 2019/8</w:t>
        </w:r>
        <w:r>
          <w:rPr>
            <w:rFonts w:ascii="Arial" w:eastAsia="Arial" w:hAnsi="Arial" w:cs="Arial"/>
            <w:b/>
            <w:color w:val="467886"/>
            <w:sz w:val="20"/>
            <w:szCs w:val="20"/>
            <w:u w:val="single"/>
          </w:rPr>
          <w:t>81</w:t>
        </w:r>
      </w:hyperlink>
      <w:r>
        <w:rPr>
          <w:rFonts w:ascii="Arial" w:eastAsia="Arial" w:hAnsi="Arial" w:cs="Arial"/>
          <w:b/>
          <w:sz w:val="20"/>
          <w:szCs w:val="20"/>
        </w:rPr>
        <w:t xml:space="preserve">] </w:t>
      </w:r>
      <w:r>
        <w:rPr>
          <w:rFonts w:ascii="Arial" w:eastAsia="Arial" w:hAnsi="Arial" w:cs="Arial"/>
          <w:sz w:val="20"/>
          <w:szCs w:val="20"/>
        </w:rPr>
        <w:t>– visa veikla, būtina tinklų ir informacinėms sistemoms, tokių sistemų naudotojams ir kitiems susijusiems asmenims apsaugoti nuo kibernetinių grėsmių</w:t>
      </w:r>
    </w:p>
    <w:p w:rsidR="004F0C50" w:rsidRDefault="00FC1ED1">
      <w:pPr>
        <w:spacing w:before="240" w:after="240" w:line="360" w:lineRule="auto"/>
        <w:ind w:firstLine="20"/>
        <w:jc w:val="both"/>
        <w:rPr>
          <w:rFonts w:ascii="Arial" w:eastAsia="Arial" w:hAnsi="Arial" w:cs="Arial"/>
          <w:sz w:val="20"/>
          <w:szCs w:val="20"/>
        </w:rPr>
      </w:pPr>
      <w:r>
        <w:rPr>
          <w:rFonts w:ascii="Arial" w:eastAsia="Arial" w:hAnsi="Arial" w:cs="Arial"/>
          <w:b/>
          <w:sz w:val="20"/>
          <w:szCs w:val="20"/>
        </w:rPr>
        <w:t>Kibernetinio incidento valdymas</w:t>
      </w:r>
      <w:r>
        <w:rPr>
          <w:rFonts w:ascii="Arial" w:eastAsia="Arial" w:hAnsi="Arial" w:cs="Arial"/>
          <w:sz w:val="20"/>
          <w:szCs w:val="20"/>
        </w:rPr>
        <w:t xml:space="preserve"> – veiksmai ir procedūros, kuriais siekiama užkirsti kelią kibernetiniam incidentui, jį atskleisti, išanalizuoti ir sustabdyti arba į jį reaguoti ir atkurti veiklą po jo.</w:t>
      </w:r>
    </w:p>
    <w:p w:rsidR="004F0C50" w:rsidRDefault="00FC1ED1">
      <w:pPr>
        <w:spacing w:before="240" w:after="240" w:line="360" w:lineRule="auto"/>
        <w:ind w:firstLine="20"/>
        <w:jc w:val="both"/>
        <w:rPr>
          <w:rFonts w:ascii="Arial" w:eastAsia="Arial" w:hAnsi="Arial" w:cs="Arial"/>
          <w:color w:val="666666"/>
          <w:sz w:val="20"/>
          <w:szCs w:val="20"/>
        </w:rPr>
      </w:pPr>
      <w:r>
        <w:rPr>
          <w:rFonts w:ascii="Arial" w:eastAsia="Arial" w:hAnsi="Arial" w:cs="Arial"/>
          <w:b/>
          <w:color w:val="666666"/>
          <w:sz w:val="20"/>
          <w:szCs w:val="20"/>
        </w:rPr>
        <w:t>Ryšių ir informacinė sistema</w:t>
      </w:r>
      <w:r>
        <w:rPr>
          <w:rFonts w:ascii="Arial" w:eastAsia="Arial" w:hAnsi="Arial" w:cs="Arial"/>
          <w:color w:val="666666"/>
          <w:sz w:val="20"/>
          <w:szCs w:val="20"/>
        </w:rPr>
        <w:t xml:space="preserve"> – elektroninių ryšių tinklas, informacinė sistema, registras, pramoninių procesų valdymo sistema ir jų valdymo, naudojimo, apsaugos ir priežiūros tikslais laikoma, tvarkoma, atkuriama arba perduodama elektroninė informacija.</w:t>
      </w:r>
    </w:p>
    <w:p w:rsidR="004F0C50" w:rsidRDefault="00FC1ED1">
      <w:pPr>
        <w:spacing w:before="240" w:after="240" w:line="360" w:lineRule="auto"/>
        <w:ind w:firstLine="20"/>
        <w:jc w:val="both"/>
        <w:rPr>
          <w:rFonts w:ascii="Arial" w:eastAsia="Arial" w:hAnsi="Arial" w:cs="Arial"/>
          <w:color w:val="666666"/>
          <w:sz w:val="20"/>
          <w:szCs w:val="20"/>
        </w:rPr>
      </w:pPr>
      <w:r>
        <w:rPr>
          <w:rFonts w:ascii="Arial" w:eastAsia="Arial" w:hAnsi="Arial" w:cs="Arial"/>
          <w:b/>
          <w:color w:val="666666"/>
          <w:sz w:val="20"/>
          <w:szCs w:val="20"/>
        </w:rPr>
        <w:t>Ryšių ir informacinės sistemos</w:t>
      </w:r>
      <w:r>
        <w:rPr>
          <w:rFonts w:ascii="Arial" w:eastAsia="Arial" w:hAnsi="Arial" w:cs="Arial"/>
          <w:b/>
          <w:color w:val="666666"/>
          <w:sz w:val="20"/>
          <w:szCs w:val="20"/>
        </w:rPr>
        <w:t xml:space="preserve"> spraga </w:t>
      </w:r>
      <w:r>
        <w:rPr>
          <w:rFonts w:ascii="Arial" w:eastAsia="Arial" w:hAnsi="Arial" w:cs="Arial"/>
          <w:color w:val="666666"/>
          <w:sz w:val="20"/>
          <w:szCs w:val="20"/>
        </w:rPr>
        <w:t>(toliau – spraga) – ryšių ir informacinės sistemos trūkumas, dėl kurio gali įvykti kibernetinis incidentas.</w:t>
      </w:r>
    </w:p>
    <w:p w:rsidR="004F0C50" w:rsidRDefault="00FC1ED1">
      <w:pPr>
        <w:spacing w:before="240" w:after="240" w:line="360" w:lineRule="auto"/>
        <w:ind w:firstLine="20"/>
        <w:jc w:val="both"/>
        <w:rPr>
          <w:rFonts w:ascii="Arial" w:eastAsia="Arial" w:hAnsi="Arial" w:cs="Arial"/>
          <w:sz w:val="20"/>
          <w:szCs w:val="20"/>
        </w:rPr>
      </w:pPr>
      <w:r>
        <w:rPr>
          <w:rFonts w:ascii="Arial" w:eastAsia="Arial" w:hAnsi="Arial" w:cs="Arial"/>
          <w:b/>
          <w:sz w:val="20"/>
          <w:szCs w:val="20"/>
        </w:rPr>
        <w:t>Kibernetinio saugumo rizika</w:t>
      </w:r>
      <w:r>
        <w:rPr>
          <w:rFonts w:ascii="Arial" w:eastAsia="Arial" w:hAnsi="Arial" w:cs="Arial"/>
          <w:sz w:val="20"/>
          <w:szCs w:val="20"/>
        </w:rPr>
        <w:t xml:space="preserve"> – potencialus praradimas arba sutrikimas, kurį gali sukelti kibernetinis incidentas. Kibernetinio saugumo rizika</w:t>
      </w:r>
      <w:r>
        <w:rPr>
          <w:rFonts w:ascii="Arial" w:eastAsia="Arial" w:hAnsi="Arial" w:cs="Arial"/>
          <w:sz w:val="20"/>
          <w:szCs w:val="20"/>
        </w:rPr>
        <w:t xml:space="preserve"> išreiškiama kaip tokio praradimo arba sutrikimo masto ir kibernetinio incidento tikimybės derinys.]</w:t>
      </w:r>
    </w:p>
    <w:p w:rsidR="004F0C50" w:rsidRDefault="00FC1ED1">
      <w:pPr>
        <w:spacing w:before="240" w:after="240" w:line="360" w:lineRule="auto"/>
        <w:ind w:firstLine="20"/>
        <w:jc w:val="both"/>
        <w:rPr>
          <w:rFonts w:ascii="Arial" w:eastAsia="Arial" w:hAnsi="Arial" w:cs="Arial"/>
          <w:sz w:val="20"/>
          <w:szCs w:val="20"/>
        </w:rPr>
      </w:pPr>
      <w:r>
        <w:rPr>
          <w:rFonts w:ascii="Arial" w:eastAsia="Arial" w:hAnsi="Arial" w:cs="Arial"/>
          <w:b/>
          <w:sz w:val="20"/>
          <w:szCs w:val="20"/>
        </w:rPr>
        <w:t>Saugusis valstybinis duomenų perdavimo tinklas</w:t>
      </w:r>
      <w:r>
        <w:rPr>
          <w:rFonts w:ascii="Arial" w:eastAsia="Arial" w:hAnsi="Arial" w:cs="Arial"/>
          <w:sz w:val="20"/>
          <w:szCs w:val="20"/>
        </w:rPr>
        <w:t xml:space="preserve"> – valstybės valdomas specialiuosius organizacinius ir techninius reikalavimus atitinkantis ir nuo viešųjų el</w:t>
      </w:r>
      <w:r>
        <w:rPr>
          <w:rFonts w:ascii="Arial" w:eastAsia="Arial" w:hAnsi="Arial" w:cs="Arial"/>
          <w:sz w:val="20"/>
          <w:szCs w:val="20"/>
        </w:rPr>
        <w:t>ektroninių ryšių tinklų nepriklausomas elektroninių ryšių tinklas.</w:t>
      </w:r>
    </w:p>
    <w:p w:rsidR="004F0C50" w:rsidRDefault="00FC1ED1">
      <w:pPr>
        <w:spacing w:before="240" w:after="240" w:line="360" w:lineRule="auto"/>
        <w:ind w:firstLine="20"/>
        <w:jc w:val="both"/>
        <w:rPr>
          <w:rFonts w:ascii="Arial" w:eastAsia="Arial" w:hAnsi="Arial" w:cs="Arial"/>
          <w:b/>
        </w:rPr>
      </w:pPr>
      <w:r>
        <w:rPr>
          <w:rFonts w:ascii="Arial" w:eastAsia="Arial" w:hAnsi="Arial" w:cs="Arial"/>
          <w:b/>
        </w:rPr>
        <w:t>Kibernetinio saugumo principai</w:t>
      </w:r>
    </w:p>
    <w:p w:rsidR="004F0C50" w:rsidRDefault="00FC1ED1">
      <w:pPr>
        <w:numPr>
          <w:ilvl w:val="0"/>
          <w:numId w:val="1"/>
        </w:numPr>
        <w:spacing w:before="240" w:line="360" w:lineRule="auto"/>
        <w:ind w:left="566" w:hanging="141"/>
        <w:jc w:val="both"/>
        <w:rPr>
          <w:rFonts w:ascii="Arial" w:eastAsia="Arial" w:hAnsi="Arial" w:cs="Arial"/>
          <w:sz w:val="20"/>
          <w:szCs w:val="20"/>
        </w:rPr>
      </w:pPr>
      <w:r>
        <w:rPr>
          <w:rFonts w:ascii="Arial" w:eastAsia="Arial" w:hAnsi="Arial" w:cs="Arial"/>
          <w:sz w:val="20"/>
          <w:szCs w:val="20"/>
        </w:rPr>
        <w:t>Kibernetinis saugumas grindžiamas šiais kibernetinio saugumo principais:</w:t>
      </w:r>
    </w:p>
    <w:p w:rsidR="004F0C50" w:rsidRDefault="00FC1ED1">
      <w:pPr>
        <w:numPr>
          <w:ilvl w:val="1"/>
          <w:numId w:val="1"/>
        </w:numPr>
        <w:spacing w:line="360" w:lineRule="auto"/>
        <w:ind w:left="1275" w:hanging="283"/>
        <w:jc w:val="both"/>
        <w:rPr>
          <w:rFonts w:ascii="Arial" w:eastAsia="Arial" w:hAnsi="Arial" w:cs="Arial"/>
          <w:sz w:val="20"/>
          <w:szCs w:val="20"/>
        </w:rPr>
      </w:pPr>
      <w:r>
        <w:rPr>
          <w:rFonts w:ascii="Arial" w:eastAsia="Arial" w:hAnsi="Arial" w:cs="Arial"/>
          <w:b/>
          <w:sz w:val="20"/>
          <w:szCs w:val="20"/>
        </w:rPr>
        <w:t xml:space="preserve">kibernetinės erdvės nediskriminavimo </w:t>
      </w:r>
      <w:r>
        <w:rPr>
          <w:rFonts w:ascii="Arial" w:eastAsia="Arial" w:hAnsi="Arial" w:cs="Arial"/>
          <w:sz w:val="20"/>
          <w:szCs w:val="20"/>
        </w:rPr>
        <w:t>– teisės aktų nuostatos yra taikomos, o teisės a</w:t>
      </w:r>
      <w:r>
        <w:rPr>
          <w:rFonts w:ascii="Arial" w:eastAsia="Arial" w:hAnsi="Arial" w:cs="Arial"/>
          <w:sz w:val="20"/>
          <w:szCs w:val="20"/>
        </w:rPr>
        <w:t>ktų saugomų gėrių apsauga yra užtikrinama vienodai tiek fizinėje, tiek kibernetinėje erdvėje;</w:t>
      </w:r>
    </w:p>
    <w:p w:rsidR="004F0C50" w:rsidRDefault="00FC1ED1">
      <w:pPr>
        <w:numPr>
          <w:ilvl w:val="1"/>
          <w:numId w:val="1"/>
        </w:numPr>
        <w:spacing w:line="360" w:lineRule="auto"/>
        <w:ind w:left="1275" w:hanging="283"/>
        <w:jc w:val="both"/>
        <w:rPr>
          <w:rFonts w:ascii="Arial" w:eastAsia="Arial" w:hAnsi="Arial" w:cs="Arial"/>
          <w:sz w:val="20"/>
          <w:szCs w:val="20"/>
        </w:rPr>
      </w:pPr>
      <w:r>
        <w:rPr>
          <w:rFonts w:ascii="Arial" w:eastAsia="Arial" w:hAnsi="Arial" w:cs="Arial"/>
          <w:b/>
          <w:sz w:val="20"/>
          <w:szCs w:val="20"/>
        </w:rPr>
        <w:t>kibernetinio saugumo rizikos valdymo</w:t>
      </w:r>
      <w:r>
        <w:rPr>
          <w:rFonts w:ascii="Arial" w:eastAsia="Arial" w:hAnsi="Arial" w:cs="Arial"/>
          <w:sz w:val="20"/>
          <w:szCs w:val="20"/>
        </w:rPr>
        <w:t xml:space="preserve"> – taikomos kibernetinio saugumo rizikos valdymo priemonės turi užtikrinti kibernetinio saugumo subjektų reguliariai įvertinam</w:t>
      </w:r>
      <w:r>
        <w:rPr>
          <w:rFonts w:ascii="Arial" w:eastAsia="Arial" w:hAnsi="Arial" w:cs="Arial"/>
          <w:sz w:val="20"/>
          <w:szCs w:val="20"/>
        </w:rPr>
        <w:t>os rizikos suvaldymą;</w:t>
      </w:r>
    </w:p>
    <w:p w:rsidR="004F0C50" w:rsidRDefault="00FC1ED1">
      <w:pPr>
        <w:numPr>
          <w:ilvl w:val="1"/>
          <w:numId w:val="1"/>
        </w:numPr>
        <w:spacing w:line="360" w:lineRule="auto"/>
        <w:ind w:left="1275" w:hanging="283"/>
        <w:jc w:val="both"/>
        <w:rPr>
          <w:rFonts w:ascii="Arial" w:eastAsia="Arial" w:hAnsi="Arial" w:cs="Arial"/>
          <w:sz w:val="20"/>
          <w:szCs w:val="20"/>
        </w:rPr>
      </w:pPr>
      <w:r>
        <w:rPr>
          <w:rFonts w:ascii="Arial" w:eastAsia="Arial" w:hAnsi="Arial" w:cs="Arial"/>
          <w:b/>
          <w:sz w:val="20"/>
          <w:szCs w:val="20"/>
        </w:rPr>
        <w:t>kibernetinio saugumo proporcingumo</w:t>
      </w:r>
      <w:r>
        <w:rPr>
          <w:rFonts w:ascii="Arial" w:eastAsia="Arial" w:hAnsi="Arial" w:cs="Arial"/>
          <w:sz w:val="20"/>
          <w:szCs w:val="20"/>
        </w:rPr>
        <w:t xml:space="preserve"> – taikomos kibernetinio saugumo rizikos valdymo priemonės neturi apriboti kibernetinio saugumo subjektų veiklos labiau, negu tai būtina kibernetiniam saugumui užtikrinti;</w:t>
      </w:r>
    </w:p>
    <w:p w:rsidR="004F0C50" w:rsidRDefault="00FC1ED1">
      <w:pPr>
        <w:numPr>
          <w:ilvl w:val="1"/>
          <w:numId w:val="1"/>
        </w:numPr>
        <w:spacing w:line="360" w:lineRule="auto"/>
        <w:ind w:left="1275" w:hanging="283"/>
        <w:jc w:val="both"/>
        <w:rPr>
          <w:rFonts w:ascii="Arial" w:eastAsia="Arial" w:hAnsi="Arial" w:cs="Arial"/>
          <w:sz w:val="20"/>
          <w:szCs w:val="20"/>
        </w:rPr>
      </w:pPr>
      <w:r>
        <w:rPr>
          <w:rFonts w:ascii="Arial" w:eastAsia="Arial" w:hAnsi="Arial" w:cs="Arial"/>
          <w:b/>
          <w:sz w:val="20"/>
          <w:szCs w:val="20"/>
          <w:highlight w:val="white"/>
        </w:rPr>
        <w:t>viešojo intereso viršenybės</w:t>
      </w:r>
      <w:r>
        <w:rPr>
          <w:rFonts w:ascii="Arial" w:eastAsia="Arial" w:hAnsi="Arial" w:cs="Arial"/>
          <w:sz w:val="20"/>
          <w:szCs w:val="20"/>
          <w:highlight w:val="white"/>
        </w:rPr>
        <w:t xml:space="preserve"> </w:t>
      </w:r>
      <w:r>
        <w:rPr>
          <w:rFonts w:ascii="Arial" w:eastAsia="Arial" w:hAnsi="Arial" w:cs="Arial"/>
          <w:sz w:val="20"/>
          <w:szCs w:val="20"/>
          <w:highlight w:val="white"/>
        </w:rPr>
        <w:t xml:space="preserve">– taikomos kibernetinio saugumo </w:t>
      </w:r>
      <w:r>
        <w:rPr>
          <w:rFonts w:ascii="Arial" w:eastAsia="Arial" w:hAnsi="Arial" w:cs="Arial"/>
          <w:sz w:val="20"/>
          <w:szCs w:val="20"/>
        </w:rPr>
        <w:t>rizikos valdymo</w:t>
      </w:r>
      <w:r>
        <w:rPr>
          <w:rFonts w:ascii="Arial" w:eastAsia="Arial" w:hAnsi="Arial" w:cs="Arial"/>
          <w:b/>
          <w:sz w:val="20"/>
          <w:szCs w:val="20"/>
        </w:rPr>
        <w:t xml:space="preserve"> </w:t>
      </w:r>
      <w:r>
        <w:rPr>
          <w:rFonts w:ascii="Arial" w:eastAsia="Arial" w:hAnsi="Arial" w:cs="Arial"/>
          <w:sz w:val="20"/>
          <w:szCs w:val="20"/>
          <w:highlight w:val="white"/>
        </w:rPr>
        <w:t>priemonės pirmiausia turi užtikrinti viešojo intereso apsaugą, tačiau neturi iš esmės pažeisti atskirų vartotojų, kibernetinio saugumo subjektų teisių ir teisėtų interesų ar neproporcingai apriboti jų laisvės</w:t>
      </w:r>
      <w:r>
        <w:rPr>
          <w:rFonts w:ascii="Arial" w:eastAsia="Arial" w:hAnsi="Arial" w:cs="Arial"/>
          <w:sz w:val="20"/>
          <w:szCs w:val="20"/>
          <w:highlight w:val="white"/>
        </w:rPr>
        <w:t>;</w:t>
      </w:r>
    </w:p>
    <w:p w:rsidR="004F0C50" w:rsidRDefault="00FC1ED1">
      <w:pPr>
        <w:numPr>
          <w:ilvl w:val="1"/>
          <w:numId w:val="1"/>
        </w:numPr>
        <w:spacing w:line="360" w:lineRule="auto"/>
        <w:ind w:left="1275" w:hanging="283"/>
        <w:jc w:val="both"/>
        <w:rPr>
          <w:rFonts w:ascii="Arial" w:eastAsia="Arial" w:hAnsi="Arial" w:cs="Arial"/>
          <w:sz w:val="20"/>
          <w:szCs w:val="20"/>
        </w:rPr>
      </w:pPr>
      <w:r>
        <w:rPr>
          <w:rFonts w:ascii="Arial" w:eastAsia="Arial" w:hAnsi="Arial" w:cs="Arial"/>
          <w:b/>
          <w:sz w:val="20"/>
          <w:szCs w:val="20"/>
          <w:highlight w:val="white"/>
        </w:rPr>
        <w:lastRenderedPageBreak/>
        <w:t>standartizacijos ir technologinio neutralumo</w:t>
      </w:r>
      <w:r>
        <w:rPr>
          <w:rFonts w:ascii="Arial" w:eastAsia="Arial" w:hAnsi="Arial" w:cs="Arial"/>
          <w:sz w:val="20"/>
          <w:szCs w:val="20"/>
          <w:highlight w:val="white"/>
        </w:rPr>
        <w:t xml:space="preserve"> – įgyvendinant kibernetinio saugumo </w:t>
      </w:r>
      <w:r>
        <w:rPr>
          <w:rFonts w:ascii="Arial" w:eastAsia="Arial" w:hAnsi="Arial" w:cs="Arial"/>
          <w:sz w:val="20"/>
          <w:szCs w:val="20"/>
        </w:rPr>
        <w:t xml:space="preserve">rizikos valdymo </w:t>
      </w:r>
      <w:r>
        <w:rPr>
          <w:rFonts w:ascii="Arial" w:eastAsia="Arial" w:hAnsi="Arial" w:cs="Arial"/>
          <w:sz w:val="20"/>
          <w:szCs w:val="20"/>
          <w:highlight w:val="white"/>
        </w:rPr>
        <w:t xml:space="preserve">priemones, </w:t>
      </w:r>
      <w:r>
        <w:rPr>
          <w:rFonts w:ascii="Arial" w:eastAsia="Arial" w:hAnsi="Arial" w:cs="Arial"/>
          <w:sz w:val="20"/>
          <w:szCs w:val="20"/>
        </w:rPr>
        <w:t xml:space="preserve">kibernetinio saugumo </w:t>
      </w:r>
      <w:r>
        <w:rPr>
          <w:rFonts w:ascii="Arial" w:eastAsia="Arial" w:hAnsi="Arial" w:cs="Arial"/>
          <w:sz w:val="20"/>
          <w:szCs w:val="20"/>
          <w:highlight w:val="white"/>
        </w:rPr>
        <w:t>subjektai skatinami vadovautis nacionaliniais, Europos Sąjungos ir kitais tarptautiniais tinklų ir informacinių sistemų saugu</w:t>
      </w:r>
      <w:r>
        <w:rPr>
          <w:rFonts w:ascii="Arial" w:eastAsia="Arial" w:hAnsi="Arial" w:cs="Arial"/>
          <w:sz w:val="20"/>
          <w:szCs w:val="20"/>
          <w:highlight w:val="white"/>
        </w:rPr>
        <w:t>mo standartais ir techninėmis specifikacijomis, nereikalaujant taikyti kokios nors konkrečios rūšies technologijos ir nesuteikiant jai pirmenybės;</w:t>
      </w:r>
    </w:p>
    <w:p w:rsidR="004F0C50" w:rsidRDefault="00FC1ED1">
      <w:pPr>
        <w:numPr>
          <w:ilvl w:val="1"/>
          <w:numId w:val="1"/>
        </w:numPr>
        <w:spacing w:line="360" w:lineRule="auto"/>
        <w:ind w:left="1275" w:hanging="283"/>
        <w:jc w:val="both"/>
        <w:rPr>
          <w:rFonts w:ascii="Arial" w:eastAsia="Arial" w:hAnsi="Arial" w:cs="Arial"/>
          <w:sz w:val="20"/>
          <w:szCs w:val="20"/>
        </w:rPr>
      </w:pPr>
      <w:r>
        <w:rPr>
          <w:rFonts w:ascii="Arial" w:eastAsia="Arial" w:hAnsi="Arial" w:cs="Arial"/>
          <w:b/>
          <w:sz w:val="20"/>
          <w:szCs w:val="20"/>
          <w:highlight w:val="white"/>
        </w:rPr>
        <w:t>subsidiarumo</w:t>
      </w:r>
      <w:r>
        <w:rPr>
          <w:rFonts w:ascii="Arial" w:eastAsia="Arial" w:hAnsi="Arial" w:cs="Arial"/>
          <w:sz w:val="20"/>
          <w:szCs w:val="20"/>
          <w:highlight w:val="white"/>
        </w:rPr>
        <w:t xml:space="preserve"> – už tinklų ir informacinių sistemų ir jomis teikiamų paslaugų kibernetinį saugumą yra atsakingi šias sistemas valdantys ir paslaugas jomis teikiantys </w:t>
      </w:r>
      <w:r>
        <w:rPr>
          <w:rFonts w:ascii="Arial" w:eastAsia="Arial" w:hAnsi="Arial" w:cs="Arial"/>
          <w:sz w:val="20"/>
          <w:szCs w:val="20"/>
        </w:rPr>
        <w:t xml:space="preserve">kibernetinio saugumo </w:t>
      </w:r>
      <w:r>
        <w:rPr>
          <w:rFonts w:ascii="Arial" w:eastAsia="Arial" w:hAnsi="Arial" w:cs="Arial"/>
          <w:sz w:val="20"/>
          <w:szCs w:val="20"/>
          <w:highlight w:val="white"/>
        </w:rPr>
        <w:t xml:space="preserve">subjektai. Srityse, kurios priklauso išimtinei </w:t>
      </w:r>
      <w:r>
        <w:rPr>
          <w:rFonts w:ascii="Arial" w:eastAsia="Arial" w:hAnsi="Arial" w:cs="Arial"/>
          <w:sz w:val="20"/>
          <w:szCs w:val="20"/>
        </w:rPr>
        <w:t xml:space="preserve">kibernetinio saugumo </w:t>
      </w:r>
      <w:r>
        <w:rPr>
          <w:rFonts w:ascii="Arial" w:eastAsia="Arial" w:hAnsi="Arial" w:cs="Arial"/>
          <w:sz w:val="20"/>
          <w:szCs w:val="20"/>
          <w:highlight w:val="white"/>
        </w:rPr>
        <w:t>subjektų kompet</w:t>
      </w:r>
      <w:r>
        <w:rPr>
          <w:rFonts w:ascii="Arial" w:eastAsia="Arial" w:hAnsi="Arial" w:cs="Arial"/>
          <w:sz w:val="20"/>
          <w:szCs w:val="20"/>
          <w:highlight w:val="white"/>
        </w:rPr>
        <w:t xml:space="preserve">encijai, kibernetinio saugumo politikos formavimo ir įgyvendinimo institucijos veiksmų imasi tik tada, kai tinklų ir informacinių sistemų ir jomis teikiamų paslaugų kibernetinio saugumo neužtikrina šias sistemas valdantys ir paslaugas jomis teikiantys </w:t>
      </w:r>
      <w:r>
        <w:rPr>
          <w:rFonts w:ascii="Arial" w:eastAsia="Arial" w:hAnsi="Arial" w:cs="Arial"/>
          <w:sz w:val="20"/>
          <w:szCs w:val="20"/>
        </w:rPr>
        <w:t>kibe</w:t>
      </w:r>
      <w:r>
        <w:rPr>
          <w:rFonts w:ascii="Arial" w:eastAsia="Arial" w:hAnsi="Arial" w:cs="Arial"/>
          <w:sz w:val="20"/>
          <w:szCs w:val="20"/>
        </w:rPr>
        <w:t>rnetinio saugumo</w:t>
      </w:r>
      <w:r>
        <w:rPr>
          <w:rFonts w:ascii="Arial" w:eastAsia="Arial" w:hAnsi="Arial" w:cs="Arial"/>
          <w:sz w:val="20"/>
          <w:szCs w:val="20"/>
          <w:highlight w:val="white"/>
        </w:rPr>
        <w:t xml:space="preserve"> subjektai.</w:t>
      </w:r>
    </w:p>
    <w:p w:rsidR="004F0C50" w:rsidRDefault="00FC1ED1">
      <w:pPr>
        <w:numPr>
          <w:ilvl w:val="0"/>
          <w:numId w:val="1"/>
        </w:numPr>
        <w:spacing w:after="240" w:line="360" w:lineRule="auto"/>
        <w:ind w:left="566" w:hanging="141"/>
        <w:jc w:val="both"/>
        <w:rPr>
          <w:rFonts w:ascii="Arial" w:eastAsia="Arial" w:hAnsi="Arial" w:cs="Arial"/>
          <w:sz w:val="20"/>
          <w:szCs w:val="20"/>
        </w:rPr>
      </w:pPr>
      <w:r>
        <w:rPr>
          <w:rFonts w:ascii="Arial" w:eastAsia="Arial" w:hAnsi="Arial" w:cs="Arial"/>
          <w:sz w:val="20"/>
          <w:szCs w:val="20"/>
        </w:rPr>
        <w:t>Taikant kibernetinį saugumą reglamentuojančias teisės normas, turi būti atsižvelgiama į visus šio straipsnio 1 dalyje nurodytus principus. Šie principai turi būti derinami tarpusavyje, nė vienam iš jų iš anksto nesuteikiama pirm</w:t>
      </w:r>
      <w:r>
        <w:rPr>
          <w:rFonts w:ascii="Arial" w:eastAsia="Arial" w:hAnsi="Arial" w:cs="Arial"/>
          <w:sz w:val="20"/>
          <w:szCs w:val="20"/>
        </w:rPr>
        <w:t>enybė.</w:t>
      </w:r>
    </w:p>
    <w:p w:rsidR="004F0C50" w:rsidRDefault="004F0C50">
      <w:pPr>
        <w:spacing w:before="240" w:after="240" w:line="360" w:lineRule="auto"/>
        <w:ind w:firstLine="20"/>
        <w:jc w:val="center"/>
        <w:rPr>
          <w:rFonts w:ascii="Arial" w:eastAsia="Arial" w:hAnsi="Arial" w:cs="Arial"/>
          <w:b/>
          <w:sz w:val="20"/>
          <w:szCs w:val="20"/>
        </w:rPr>
      </w:pPr>
    </w:p>
    <w:p w:rsidR="004F0C50" w:rsidRDefault="004F0C50">
      <w:pPr>
        <w:rPr>
          <w:rFonts w:ascii="Arial" w:eastAsia="Arial" w:hAnsi="Arial" w:cs="Arial"/>
          <w:sz w:val="20"/>
          <w:szCs w:val="20"/>
        </w:rPr>
      </w:pPr>
    </w:p>
    <w:sectPr w:rsidR="004F0C50">
      <w:pgSz w:w="16838" w:h="11906" w:orient="landscape"/>
      <w:pgMar w:top="810" w:right="1440" w:bottom="585" w:left="1417" w:header="708" w:footer="708"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60CF"/>
    <w:multiLevelType w:val="multilevel"/>
    <w:tmpl w:val="84E47CF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2D02EB"/>
    <w:multiLevelType w:val="multilevel"/>
    <w:tmpl w:val="3E4C4E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050441"/>
    <w:multiLevelType w:val="multilevel"/>
    <w:tmpl w:val="DB200D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5212BE"/>
    <w:multiLevelType w:val="multilevel"/>
    <w:tmpl w:val="8A3A6A5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383163E1"/>
    <w:multiLevelType w:val="multilevel"/>
    <w:tmpl w:val="DC6CC61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 w15:restartNumberingAfterBreak="0">
    <w:nsid w:val="3BA73D85"/>
    <w:multiLevelType w:val="multilevel"/>
    <w:tmpl w:val="CB728F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F71410"/>
    <w:multiLevelType w:val="multilevel"/>
    <w:tmpl w:val="ACCC7D9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E55434"/>
    <w:multiLevelType w:val="multilevel"/>
    <w:tmpl w:val="0CB603C6"/>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41085B"/>
    <w:multiLevelType w:val="multilevel"/>
    <w:tmpl w:val="649C44D4"/>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814285"/>
    <w:multiLevelType w:val="multilevel"/>
    <w:tmpl w:val="45428702"/>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591B22"/>
    <w:multiLevelType w:val="multilevel"/>
    <w:tmpl w:val="26E6A6C2"/>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39164B"/>
    <w:multiLevelType w:val="multilevel"/>
    <w:tmpl w:val="CAB63F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8E1540"/>
    <w:multiLevelType w:val="multilevel"/>
    <w:tmpl w:val="CD720DF0"/>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D1201E"/>
    <w:multiLevelType w:val="multilevel"/>
    <w:tmpl w:val="BF1298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1A5AAF"/>
    <w:multiLevelType w:val="multilevel"/>
    <w:tmpl w:val="7B8042A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C75C3B"/>
    <w:multiLevelType w:val="multilevel"/>
    <w:tmpl w:val="3DF093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D84A8C"/>
    <w:multiLevelType w:val="multilevel"/>
    <w:tmpl w:val="23B89CE0"/>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0C5EE9"/>
    <w:multiLevelType w:val="multilevel"/>
    <w:tmpl w:val="C1B2682E"/>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7674E5"/>
    <w:multiLevelType w:val="multilevel"/>
    <w:tmpl w:val="A5344E9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DC77FA"/>
    <w:multiLevelType w:val="multilevel"/>
    <w:tmpl w:val="2E06042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4363C2"/>
    <w:multiLevelType w:val="multilevel"/>
    <w:tmpl w:val="AE1A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2E35D7"/>
    <w:multiLevelType w:val="multilevel"/>
    <w:tmpl w:val="64B6FC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CC720C2"/>
    <w:multiLevelType w:val="multilevel"/>
    <w:tmpl w:val="DB805322"/>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7"/>
  </w:num>
  <w:num w:numId="3">
    <w:abstractNumId w:val="1"/>
  </w:num>
  <w:num w:numId="4">
    <w:abstractNumId w:val="4"/>
  </w:num>
  <w:num w:numId="5">
    <w:abstractNumId w:val="5"/>
  </w:num>
  <w:num w:numId="6">
    <w:abstractNumId w:val="15"/>
  </w:num>
  <w:num w:numId="7">
    <w:abstractNumId w:val="7"/>
  </w:num>
  <w:num w:numId="8">
    <w:abstractNumId w:val="2"/>
  </w:num>
  <w:num w:numId="9">
    <w:abstractNumId w:val="14"/>
  </w:num>
  <w:num w:numId="10">
    <w:abstractNumId w:val="9"/>
  </w:num>
  <w:num w:numId="11">
    <w:abstractNumId w:val="22"/>
  </w:num>
  <w:num w:numId="12">
    <w:abstractNumId w:val="16"/>
  </w:num>
  <w:num w:numId="13">
    <w:abstractNumId w:val="11"/>
  </w:num>
  <w:num w:numId="14">
    <w:abstractNumId w:val="8"/>
  </w:num>
  <w:num w:numId="15">
    <w:abstractNumId w:val="18"/>
  </w:num>
  <w:num w:numId="16">
    <w:abstractNumId w:val="10"/>
  </w:num>
  <w:num w:numId="17">
    <w:abstractNumId w:val="21"/>
  </w:num>
  <w:num w:numId="18">
    <w:abstractNumId w:val="13"/>
  </w:num>
  <w:num w:numId="19">
    <w:abstractNumId w:val="0"/>
  </w:num>
  <w:num w:numId="20">
    <w:abstractNumId w:val="6"/>
  </w:num>
  <w:num w:numId="21">
    <w:abstractNumId w:val="19"/>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50"/>
    <w:rsid w:val="004F0C50"/>
    <w:rsid w:val="00FC1E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D57D2-61B1-41E5-92BF-8A206CCC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41AC2"/>
    <w:rPr>
      <w:rFonts w:eastAsiaTheme="minorEastAsia"/>
    </w:rPr>
  </w:style>
  <w:style w:type="paragraph" w:styleId="Antrat1">
    <w:name w:val="heading 1"/>
    <w:basedOn w:val="prastasis"/>
    <w:next w:val="prastasis"/>
    <w:link w:val="Antrat1Diagrama"/>
    <w:uiPriority w:val="9"/>
    <w:qFormat/>
    <w:rsid w:val="009E2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E2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E219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E219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E219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E219E"/>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E219E"/>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E219E"/>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E219E"/>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rsid w:val="009E219E"/>
    <w:pPr>
      <w:spacing w:after="80"/>
      <w:contextualSpacing/>
    </w:pPr>
    <w:rPr>
      <w:rFonts w:asciiTheme="majorHAnsi" w:eastAsiaTheme="majorEastAsia" w:hAnsiTheme="majorHAnsi" w:cstheme="majorBidi"/>
      <w:spacing w:val="-10"/>
      <w:kern w:val="28"/>
      <w:sz w:val="56"/>
      <w:szCs w:val="56"/>
    </w:rPr>
  </w:style>
  <w:style w:type="character" w:customStyle="1" w:styleId="Antrat1Diagrama">
    <w:name w:val="Antraštė 1 Diagrama"/>
    <w:basedOn w:val="Numatytasispastraiposriftas"/>
    <w:link w:val="Antrat1"/>
    <w:uiPriority w:val="9"/>
    <w:rsid w:val="009E219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E219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E219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E219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E219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E219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E219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E219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E219E"/>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sid w:val="009E219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pPr>
      <w:spacing w:after="160"/>
    </w:pPr>
    <w:rPr>
      <w:color w:val="595959"/>
      <w:sz w:val="28"/>
      <w:szCs w:val="28"/>
    </w:rPr>
  </w:style>
  <w:style w:type="character" w:customStyle="1" w:styleId="PaantratDiagrama">
    <w:name w:val="Paantraštė Diagrama"/>
    <w:basedOn w:val="Numatytasispastraiposriftas"/>
    <w:link w:val="Paantrat"/>
    <w:uiPriority w:val="11"/>
    <w:rsid w:val="009E219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E219E"/>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9E219E"/>
    <w:rPr>
      <w:i/>
      <w:iCs/>
      <w:color w:val="404040" w:themeColor="text1" w:themeTint="BF"/>
    </w:rPr>
  </w:style>
  <w:style w:type="paragraph" w:styleId="Sraopastraipa">
    <w:name w:val="List Paragraph"/>
    <w:basedOn w:val="prastasis"/>
    <w:uiPriority w:val="34"/>
    <w:qFormat/>
    <w:rsid w:val="009E219E"/>
    <w:pPr>
      <w:ind w:left="720"/>
      <w:contextualSpacing/>
    </w:pPr>
  </w:style>
  <w:style w:type="character" w:styleId="Rykuspabraukimas">
    <w:name w:val="Intense Emphasis"/>
    <w:basedOn w:val="Numatytasispastraiposriftas"/>
    <w:uiPriority w:val="21"/>
    <w:qFormat/>
    <w:rsid w:val="009E219E"/>
    <w:rPr>
      <w:i/>
      <w:iCs/>
      <w:color w:val="0F4761" w:themeColor="accent1" w:themeShade="BF"/>
    </w:rPr>
  </w:style>
  <w:style w:type="paragraph" w:styleId="Iskirtacitata">
    <w:name w:val="Intense Quote"/>
    <w:basedOn w:val="prastasis"/>
    <w:next w:val="prastasis"/>
    <w:link w:val="IskirtacitataDiagrama"/>
    <w:uiPriority w:val="30"/>
    <w:qFormat/>
    <w:rsid w:val="009E2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E219E"/>
    <w:rPr>
      <w:i/>
      <w:iCs/>
      <w:color w:val="0F4761" w:themeColor="accent1" w:themeShade="BF"/>
    </w:rPr>
  </w:style>
  <w:style w:type="character" w:styleId="Rykinuoroda">
    <w:name w:val="Intense Reference"/>
    <w:basedOn w:val="Numatytasispastraiposriftas"/>
    <w:uiPriority w:val="32"/>
    <w:qFormat/>
    <w:rsid w:val="009E219E"/>
    <w:rPr>
      <w:b/>
      <w:bCs/>
      <w:smallCaps/>
      <w:color w:val="0F4761" w:themeColor="accent1" w:themeShade="BF"/>
      <w:spacing w:val="5"/>
    </w:rPr>
  </w:style>
  <w:style w:type="table" w:styleId="Lentelstinklelis">
    <w:name w:val="Table Grid"/>
    <w:basedOn w:val="prastojilentel"/>
    <w:uiPriority w:val="39"/>
    <w:rsid w:val="000E7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3A0C71"/>
    <w:pPr>
      <w:spacing w:before="100" w:beforeAutospacing="1" w:after="100" w:afterAutospacing="1"/>
    </w:pPr>
    <w:rPr>
      <w:rFonts w:ascii="Times New Roman" w:eastAsia="Times New Roman" w:hAnsi="Times New Roman" w:cs="Times New Roman"/>
      <w:lang w:eastAsia="en-GB"/>
    </w:rPr>
  </w:style>
  <w:style w:type="character" w:styleId="Hipersaitas">
    <w:name w:val="Hyperlink"/>
    <w:basedOn w:val="Numatytasispastraiposriftas"/>
    <w:uiPriority w:val="99"/>
    <w:unhideWhenUsed/>
    <w:rsid w:val="00313279"/>
    <w:rPr>
      <w:color w:val="467886" w:themeColor="hyperlink"/>
      <w:u w:val="single"/>
    </w:rPr>
  </w:style>
  <w:style w:type="character" w:customStyle="1" w:styleId="UnresolvedMention">
    <w:name w:val="Unresolved Mention"/>
    <w:basedOn w:val="Numatytasispastraiposriftas"/>
    <w:uiPriority w:val="99"/>
    <w:semiHidden/>
    <w:unhideWhenUsed/>
    <w:rsid w:val="00313279"/>
    <w:rPr>
      <w:color w:val="605E5C"/>
      <w:shd w:val="clear" w:color="auto" w:fill="E1DFDD"/>
    </w:rPr>
  </w:style>
  <w:style w:type="character" w:styleId="Grietas">
    <w:name w:val="Strong"/>
    <w:basedOn w:val="Numatytasispastraiposriftas"/>
    <w:uiPriority w:val="22"/>
    <w:qFormat/>
    <w:rsid w:val="00CD76C4"/>
    <w:rPr>
      <w:b/>
      <w:bCs/>
    </w:rPr>
  </w:style>
  <w:style w:type="table" w:customStyle="1" w:styleId="a">
    <w:basedOn w:val="prastojilentel"/>
    <w:tblPr>
      <w:tblStyleRowBandSize w:val="1"/>
      <w:tblStyleColBandSize w:val="1"/>
    </w:tblPr>
  </w:style>
  <w:style w:type="table" w:customStyle="1" w:styleId="a0">
    <w:basedOn w:val="prastojilentel"/>
    <w:tblPr>
      <w:tblStyleRowBandSize w:val="1"/>
      <w:tblStyleColBandSize w:val="1"/>
    </w:tblPr>
  </w:style>
  <w:style w:type="table" w:customStyle="1" w:styleId="a1">
    <w:basedOn w:val="prastojilente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2019R0881&amp;locale=lt" TargetMode="External"/><Relationship Id="rId3" Type="http://schemas.openxmlformats.org/officeDocument/2006/relationships/styles" Target="styles.xml"/><Relationship Id="rId7" Type="http://schemas.openxmlformats.org/officeDocument/2006/relationships/hyperlink" Target="http://eur-lex.europa.eu/legal-content/LIT/TXT/?uri=CELEX:32019R0881&amp;local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eimas.lrs.lt/portal/legalAct/lt/TAD/f6958c2085dd11e495dc9901227533ee/as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ERqbuTVY7lQZG+FBQYmqckyv9w==">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17159</Words>
  <Characters>9782</Characters>
  <Application>Microsoft Office Word</Application>
  <DocSecurity>0</DocSecurity>
  <Lines>81</Lines>
  <Paragraphs>53</Paragraphs>
  <ScaleCrop>false</ScaleCrop>
  <Company>HP Inc.</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Aurelija Dirvonskienė</cp:lastModifiedBy>
  <cp:revision>2</cp:revision>
  <dcterms:created xsi:type="dcterms:W3CDTF">2024-08-07T21:18:00Z</dcterms:created>
  <dcterms:modified xsi:type="dcterms:W3CDTF">2024-12-04T09:18:00Z</dcterms:modified>
</cp:coreProperties>
</file>